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A9" w:rsidRPr="00580EAD" w:rsidRDefault="00C1720D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580EAD">
        <w:rPr>
          <w:rFonts w:eastAsia="標楷體"/>
          <w:b/>
          <w:color w:val="000000"/>
          <w:sz w:val="36"/>
          <w:szCs w:val="36"/>
        </w:rPr>
        <w:t>表</w:t>
      </w:r>
      <w:r w:rsidRPr="00580EAD">
        <w:rPr>
          <w:rFonts w:eastAsia="標楷體"/>
          <w:b/>
          <w:color w:val="000000"/>
          <w:sz w:val="36"/>
          <w:szCs w:val="36"/>
        </w:rPr>
        <w:t>1</w:t>
      </w:r>
      <w:r w:rsidRPr="00580EAD"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E413A9" w:rsidRPr="00580EAD" w:rsidTr="00800899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580EAD">
              <w:rPr>
                <w:rFonts w:eastAsia="標楷體"/>
                <w:color w:val="000000"/>
                <w:sz w:val="28"/>
                <w:szCs w:val="28"/>
              </w:rPr>
              <w:t>共備人員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4F017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蕭慧雯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 w:rsidTr="00800899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D76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呂子欣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D76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D76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 w:rsidTr="00800899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E90287" w:rsidRDefault="00E9028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90287">
              <w:rPr>
                <w:rFonts w:eastAsia="標楷體"/>
                <w:color w:val="000000"/>
                <w:sz w:val="28"/>
                <w:szCs w:val="28"/>
              </w:rPr>
              <w:t>水與墨的交融</w:t>
            </w:r>
          </w:p>
        </w:tc>
      </w:tr>
      <w:tr w:rsidR="00E413A9" w:rsidRPr="00580EAD" w:rsidTr="00800899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觀察前會談</w:t>
            </w:r>
          </w:p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580EAD"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 w:rsidRPr="00580EAD">
              <w:rPr>
                <w:rFonts w:eastAsia="標楷體"/>
                <w:sz w:val="28"/>
                <w:szCs w:val="28"/>
              </w:rPr>
              <w:t>)</w:t>
            </w:r>
            <w:r w:rsidRPr="00580EAD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B1" w:rsidRPr="00580EAD" w:rsidRDefault="00E90287" w:rsidP="004B51B1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年</w:t>
            </w:r>
            <w:r w:rsidR="00255D44" w:rsidRPr="00580EA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E413A9" w:rsidRPr="00580EAD" w:rsidRDefault="004B51B1" w:rsidP="004B51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E902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16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49132E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80EA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E90287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CB3D7E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4F017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4F017D">
              <w:rPr>
                <w:rFonts w:eastAsia="標楷體"/>
                <w:color w:val="000000"/>
                <w:sz w:val="28"/>
                <w:szCs w:val="28"/>
              </w:rPr>
              <w:t>藝術樓美術教室</w:t>
            </w:r>
          </w:p>
        </w:tc>
      </w:tr>
      <w:tr w:rsidR="00E413A9" w:rsidRPr="00580EAD" w:rsidTr="00800899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預定入班教學觀察</w:t>
            </w:r>
            <w:r w:rsidRPr="00580EAD">
              <w:rPr>
                <w:rFonts w:eastAsia="標楷體"/>
                <w:sz w:val="28"/>
                <w:szCs w:val="28"/>
              </w:rPr>
              <w:t>/</w:t>
            </w:r>
            <w:r w:rsidRPr="00580EAD"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B1" w:rsidRPr="00580EAD" w:rsidRDefault="00E90287" w:rsidP="004B51B1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年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_</w:t>
            </w:r>
            <w:r w:rsidR="004B51B1" w:rsidRPr="00580EA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_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月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_</w:t>
            </w:r>
            <w:r w:rsidR="004B51B1" w:rsidRPr="00580EAD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4B51B1" w:rsidRPr="00580EAD" w:rsidRDefault="004B51B1" w:rsidP="004B51B1">
            <w:pPr>
              <w:spacing w:line="400" w:lineRule="exact"/>
              <w:jc w:val="center"/>
            </w:pP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4F01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08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580EA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4F01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4F017D" w:rsidP="004F01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F017D">
              <w:rPr>
                <w:rFonts w:eastAsia="標楷體"/>
                <w:color w:val="000000"/>
                <w:sz w:val="28"/>
                <w:szCs w:val="28"/>
              </w:rPr>
              <w:t>藝術樓美術教室</w:t>
            </w:r>
          </w:p>
        </w:tc>
      </w:tr>
      <w:tr w:rsidR="00E413A9" w:rsidRPr="00580EAD" w:rsidTr="00885024">
        <w:trPr>
          <w:trHeight w:val="694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 w:rsidP="00AC5FCA">
            <w:pPr>
              <w:pStyle w:val="a3"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學習目標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AC5FCA" w:rsidRPr="00580EAD" w:rsidRDefault="00255D44" w:rsidP="00AC5FCA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b/>
                <w:color w:val="000000"/>
                <w:sz w:val="28"/>
                <w:szCs w:val="28"/>
              </w:rPr>
              <w:t>核心素養</w:t>
            </w:r>
            <w:r w:rsidRPr="00580EAD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255D44" w:rsidRPr="00580EAD" w:rsidRDefault="00576562" w:rsidP="00AC5FC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藝才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J-A1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開展藝術潛能，展現個人特質，培養良好藝術學習習慣。</w:t>
            </w:r>
          </w:p>
          <w:p w:rsidR="00576562" w:rsidRPr="00580EAD" w:rsidRDefault="00576562" w:rsidP="00AC5FC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藝才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 J-B1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理解藝術作品內容，運用各類藝術符號與媒材，與人分享及互動。</w:t>
            </w:r>
          </w:p>
          <w:p w:rsidR="00AC5FCA" w:rsidRPr="00580EAD" w:rsidRDefault="00576562" w:rsidP="00AC5FCA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b/>
                <w:color w:val="000000"/>
                <w:sz w:val="28"/>
                <w:szCs w:val="28"/>
              </w:rPr>
              <w:t>學習表現</w:t>
            </w:r>
            <w:r w:rsidRPr="00580EAD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576562" w:rsidRPr="00580EAD" w:rsidRDefault="00576562" w:rsidP="00AC5FC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美才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Ⅳ-P1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運用平面、立體、數位媒體等媒材進行多元藝術創作。</w:t>
            </w:r>
          </w:p>
          <w:p w:rsidR="00576562" w:rsidRPr="00580EAD" w:rsidRDefault="00576562" w:rsidP="00AC5FC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美才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Ⅳ-K1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理解藝術作品與造型元素、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形式、構成、媒材工具等關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係：含肌理、質感、與色彩等。</w:t>
            </w:r>
          </w:p>
          <w:p w:rsidR="00576562" w:rsidRPr="00580EAD" w:rsidRDefault="00576562" w:rsidP="00AC5FC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美才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 xml:space="preserve">Ⅳ-L1 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探討藝術與人文、自然環境的關係。</w:t>
            </w:r>
          </w:p>
          <w:p w:rsidR="00576562" w:rsidRPr="00580EAD" w:rsidRDefault="00576562" w:rsidP="00AC5FCA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b/>
                <w:color w:val="000000"/>
                <w:sz w:val="28"/>
                <w:szCs w:val="28"/>
              </w:rPr>
              <w:t>學習內容</w:t>
            </w:r>
            <w:r w:rsidRPr="00580EAD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800899" w:rsidRPr="00580EAD" w:rsidRDefault="00800899" w:rsidP="0080089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美才Ⅳ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-P1-1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平面藝術創作：含構圖、造型、色彩等的探究</w:t>
            </w:r>
          </w:p>
          <w:p w:rsidR="00800899" w:rsidRPr="00580EAD" w:rsidRDefault="00800899" w:rsidP="0080089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美才Ⅳ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-K1-1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創作的技法與過程：</w:t>
            </w:r>
            <w:proofErr w:type="gramStart"/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含媒材</w:t>
            </w:r>
            <w:proofErr w:type="gramEnd"/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與工具的使用等。</w:t>
            </w:r>
          </w:p>
          <w:p w:rsidR="00E413A9" w:rsidRPr="00580EAD" w:rsidRDefault="00800899" w:rsidP="0080089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美才Ⅳ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-K2-1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色彩、造型、設計及形式原理等藝術相關知識的理解。</w:t>
            </w:r>
          </w:p>
          <w:p w:rsidR="00885024" w:rsidRPr="00580EAD" w:rsidRDefault="00885024" w:rsidP="004F017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E413A9" w:rsidRPr="00580EAD" w:rsidTr="00800899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1" w:rsidRPr="00580EAD" w:rsidRDefault="00C1720D" w:rsidP="0088502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學生經驗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AC5FCA" w:rsidRPr="00580EAD" w:rsidRDefault="00C54F91" w:rsidP="004F017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學生具備</w:t>
            </w:r>
            <w:proofErr w:type="gramStart"/>
            <w:r w:rsidR="004F017D">
              <w:rPr>
                <w:rFonts w:eastAsia="標楷體" w:hint="eastAsia"/>
                <w:color w:val="000000"/>
                <w:sz w:val="28"/>
                <w:szCs w:val="28"/>
              </w:rPr>
              <w:t>水墨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媒材</w:t>
            </w:r>
            <w:proofErr w:type="gramEnd"/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之知識技能，與基本觀察能力、鑑賞作品經驗，具學習熱忱，能配合教師引導參與討論</w:t>
            </w:r>
            <w:r w:rsidR="00885024" w:rsidRPr="00580EAD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E413A9" w:rsidRPr="00580EAD" w:rsidTr="0049132E">
        <w:trPr>
          <w:trHeight w:val="2974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8E" w:rsidRPr="00580EAD" w:rsidRDefault="00C1720D" w:rsidP="00800899">
            <w:pPr>
              <w:pStyle w:val="a3"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lastRenderedPageBreak/>
              <w:t>教師教學預定流程與策略：</w:t>
            </w:r>
          </w:p>
          <w:p w:rsidR="007B1E7B" w:rsidRPr="00580EAD" w:rsidRDefault="00C3108E" w:rsidP="008D4ED1">
            <w:pPr>
              <w:spacing w:line="5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C26FB4" w:rsidRPr="00580EAD">
              <w:rPr>
                <w:rFonts w:eastAsia="標楷體" w:hint="eastAsia"/>
                <w:color w:val="000000"/>
                <w:sz w:val="28"/>
                <w:szCs w:val="28"/>
              </w:rPr>
              <w:t>首先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以簡報及影片資源等介紹</w:t>
            </w:r>
            <w:r w:rsidR="004F017D">
              <w:rPr>
                <w:rFonts w:eastAsia="標楷體" w:hint="eastAsia"/>
                <w:color w:val="000000"/>
                <w:sz w:val="28"/>
                <w:szCs w:val="28"/>
              </w:rPr>
              <w:t>水墨</w:t>
            </w:r>
            <w:r w:rsidR="007B1E7B">
              <w:rPr>
                <w:rFonts w:eastAsia="標楷體" w:hint="eastAsia"/>
                <w:color w:val="000000"/>
                <w:sz w:val="28"/>
                <w:szCs w:val="28"/>
              </w:rPr>
              <w:t>寫生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藝術作品，學生</w:t>
            </w:r>
            <w:r w:rsidR="00E763EB" w:rsidRPr="00580EAD">
              <w:rPr>
                <w:rFonts w:eastAsia="標楷體" w:hint="eastAsia"/>
                <w:color w:val="000000"/>
                <w:sz w:val="28"/>
                <w:szCs w:val="28"/>
              </w:rPr>
              <w:t>分組討論</w:t>
            </w:r>
            <w:r w:rsidR="004F017D">
              <w:rPr>
                <w:rFonts w:eastAsia="標楷體" w:hint="eastAsia"/>
                <w:color w:val="000000"/>
                <w:sz w:val="28"/>
                <w:szCs w:val="28"/>
              </w:rPr>
              <w:t>水墨</w:t>
            </w:r>
            <w:r w:rsidR="007B1E7B">
              <w:rPr>
                <w:rFonts w:eastAsia="標楷體" w:hint="eastAsia"/>
                <w:color w:val="000000"/>
                <w:sz w:val="28"/>
                <w:szCs w:val="28"/>
              </w:rPr>
              <w:t>寫生</w:t>
            </w:r>
            <w:r w:rsidR="00E763EB" w:rsidRPr="00580EAD">
              <w:rPr>
                <w:rFonts w:eastAsia="標楷體" w:hint="eastAsia"/>
                <w:color w:val="000000"/>
                <w:sz w:val="28"/>
                <w:szCs w:val="28"/>
              </w:rPr>
              <w:t>藝術作品所傳達的內容與表現方式。</w:t>
            </w:r>
            <w:r w:rsidR="007B1E7B" w:rsidRPr="00580EAD">
              <w:rPr>
                <w:rFonts w:eastAsia="標楷體" w:hint="eastAsia"/>
                <w:color w:val="000000"/>
                <w:sz w:val="28"/>
                <w:szCs w:val="28"/>
              </w:rPr>
              <w:t>再由教師</w:t>
            </w:r>
            <w:r w:rsidR="007B1E7B">
              <w:rPr>
                <w:rFonts w:eastAsia="標楷體" w:hint="eastAsia"/>
                <w:color w:val="000000"/>
                <w:sz w:val="28"/>
                <w:szCs w:val="28"/>
              </w:rPr>
              <w:t>引導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學生觀察、記錄</w:t>
            </w:r>
            <w:r w:rsidR="007B1E7B">
              <w:rPr>
                <w:rFonts w:eastAsia="標楷體" w:hint="eastAsia"/>
                <w:color w:val="000000"/>
                <w:sz w:val="28"/>
                <w:szCs w:val="28"/>
              </w:rPr>
              <w:t>校園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環境</w:t>
            </w:r>
            <w:r w:rsidR="007B1E7B" w:rsidRPr="00580EAD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並應用於作品創作。</w:t>
            </w:r>
            <w:r w:rsidR="008D4ED1" w:rsidRPr="00580EAD">
              <w:rPr>
                <w:rFonts w:eastAsia="標楷體" w:hint="eastAsia"/>
                <w:color w:val="000000"/>
                <w:sz w:val="28"/>
                <w:szCs w:val="28"/>
              </w:rPr>
              <w:t>班級</w:t>
            </w:r>
            <w:proofErr w:type="gramStart"/>
            <w:r w:rsidR="008D4ED1" w:rsidRPr="00580EAD">
              <w:rPr>
                <w:rFonts w:eastAsia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="008D4ED1" w:rsidRPr="00580EAD">
              <w:rPr>
                <w:rFonts w:eastAsia="標楷體" w:hint="eastAsia"/>
                <w:color w:val="000000"/>
                <w:sz w:val="28"/>
                <w:szCs w:val="28"/>
              </w:rPr>
              <w:t>能力分組教學。</w:t>
            </w:r>
          </w:p>
        </w:tc>
      </w:tr>
      <w:tr w:rsidR="00E413A9" w:rsidRPr="00580EAD" w:rsidTr="0049132E">
        <w:trPr>
          <w:trHeight w:val="182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B4" w:rsidRPr="00580EAD" w:rsidRDefault="00C1720D" w:rsidP="00C26FB4">
            <w:pPr>
              <w:pStyle w:val="a3"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學生學習策略或方法：</w:t>
            </w:r>
          </w:p>
          <w:p w:rsidR="00C26FB4" w:rsidRPr="00580EAD" w:rsidRDefault="00C26FB4" w:rsidP="000D6F0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學生以組織化策略、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精緻化策略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等，統整學習到的</w:t>
            </w:r>
            <w:r w:rsidR="000D6F06">
              <w:rPr>
                <w:rFonts w:eastAsia="標楷體" w:hint="eastAsia"/>
                <w:color w:val="000000"/>
                <w:sz w:val="28"/>
                <w:szCs w:val="28"/>
              </w:rPr>
              <w:t>水墨</w:t>
            </w:r>
            <w:r w:rsidR="0049132E" w:rsidRPr="00580EAD">
              <w:rPr>
                <w:rFonts w:eastAsia="標楷體" w:hint="eastAsia"/>
                <w:color w:val="000000"/>
                <w:sz w:val="28"/>
                <w:szCs w:val="28"/>
              </w:rPr>
              <w:t>技能與</w:t>
            </w:r>
            <w:r w:rsidR="000D6F06">
              <w:rPr>
                <w:rFonts w:eastAsia="標楷體" w:hint="eastAsia"/>
                <w:color w:val="000000"/>
                <w:sz w:val="28"/>
                <w:szCs w:val="28"/>
              </w:rPr>
              <w:t>水墨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藝術知識，並分組討論如何</w:t>
            </w:r>
            <w:r w:rsidR="0049132E" w:rsidRPr="00580EAD">
              <w:rPr>
                <w:rFonts w:eastAsia="標楷體" w:hint="eastAsia"/>
                <w:color w:val="000000"/>
                <w:sz w:val="28"/>
                <w:szCs w:val="28"/>
              </w:rPr>
              <w:t>連結</w:t>
            </w:r>
            <w:r w:rsidR="000D6F06">
              <w:rPr>
                <w:rFonts w:eastAsia="標楷體" w:hint="eastAsia"/>
                <w:color w:val="000000"/>
                <w:sz w:val="28"/>
                <w:szCs w:val="28"/>
              </w:rPr>
              <w:t>相關知識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49132E" w:rsidRPr="00580EAD">
              <w:rPr>
                <w:rFonts w:eastAsia="標楷體" w:hint="eastAsia"/>
                <w:color w:val="000000"/>
                <w:sz w:val="28"/>
                <w:szCs w:val="28"/>
              </w:rPr>
              <w:t>進而進行創作。</w:t>
            </w:r>
          </w:p>
        </w:tc>
      </w:tr>
      <w:tr w:rsidR="00E413A9" w:rsidRPr="00580EAD" w:rsidTr="00A1429E">
        <w:trPr>
          <w:trHeight w:val="1838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 w:rsidP="00A1429E">
            <w:pPr>
              <w:pStyle w:val="a3"/>
              <w:numPr>
                <w:ilvl w:val="0"/>
                <w:numId w:val="15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教學評量方式（請呼應學習目標，說明使用的評量方式）：</w:t>
            </w:r>
          </w:p>
          <w:p w:rsidR="00A1429E" w:rsidRPr="00580EAD" w:rsidRDefault="00A1429E" w:rsidP="00A1429E">
            <w:pPr>
              <w:pStyle w:val="a3"/>
              <w:numPr>
                <w:ilvl w:val="0"/>
                <w:numId w:val="16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課堂觀察：評量學生</w:t>
            </w:r>
            <w:r w:rsidR="008D4ED1">
              <w:rPr>
                <w:rFonts w:eastAsia="標楷體"/>
                <w:color w:val="000000"/>
                <w:sz w:val="28"/>
                <w:szCs w:val="28"/>
              </w:rPr>
              <w:t>理解藝術作品與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生活觀察、運用媒材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之能力。</w:t>
            </w:r>
          </w:p>
          <w:p w:rsidR="00AC5FCA" w:rsidRPr="00580EAD" w:rsidRDefault="00A1429E" w:rsidP="00AC5FCA">
            <w:pPr>
              <w:pStyle w:val="a3"/>
              <w:numPr>
                <w:ilvl w:val="0"/>
                <w:numId w:val="16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實作表現：評量學生</w:t>
            </w:r>
            <w:r w:rsidR="008D4ED1">
              <w:rPr>
                <w:rFonts w:eastAsia="標楷體" w:hint="eastAsia"/>
                <w:color w:val="000000"/>
                <w:sz w:val="28"/>
                <w:szCs w:val="28"/>
              </w:rPr>
              <w:t>觀察能力與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運用平面媒材進行藝術創作</w:t>
            </w:r>
            <w:r w:rsidRPr="00580EAD">
              <w:rPr>
                <w:rFonts w:eastAsia="標楷體" w:hint="eastAsia"/>
                <w:color w:val="000000"/>
                <w:sz w:val="28"/>
                <w:szCs w:val="28"/>
              </w:rPr>
              <w:t>之能力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E413A9" w:rsidRPr="00580EAD" w:rsidTr="00800899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spacing w:line="500" w:lineRule="exact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580EAD"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:rsidR="00E413A9" w:rsidRPr="00580EAD" w:rsidRDefault="00C1720D">
            <w:pPr>
              <w:spacing w:line="500" w:lineRule="exact"/>
            </w:pPr>
            <w:r w:rsidRPr="00580EAD">
              <w:rPr>
                <w:rFonts w:eastAsia="標楷體"/>
                <w:sz w:val="28"/>
                <w:szCs w:val="28"/>
              </w:rPr>
              <w:t>日期及時間：</w:t>
            </w:r>
            <w:r w:rsidR="00A1429E" w:rsidRPr="00580EAD">
              <w:rPr>
                <w:rFonts w:eastAsia="標楷體" w:hint="eastAsia"/>
                <w:sz w:val="28"/>
                <w:szCs w:val="28"/>
              </w:rPr>
              <w:t>108</w:t>
            </w:r>
            <w:r w:rsidRPr="00580EAD">
              <w:rPr>
                <w:rFonts w:eastAsia="標楷體"/>
                <w:bCs/>
                <w:sz w:val="28"/>
                <w:szCs w:val="28"/>
              </w:rPr>
              <w:t>年</w:t>
            </w:r>
            <w:r w:rsidR="00A1429E" w:rsidRPr="00580EA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580EAD">
              <w:rPr>
                <w:rFonts w:eastAsia="標楷體"/>
                <w:bCs/>
                <w:sz w:val="28"/>
                <w:szCs w:val="28"/>
              </w:rPr>
              <w:t>月</w:t>
            </w:r>
            <w:r w:rsidR="008D4ED1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580EAD">
              <w:rPr>
                <w:rFonts w:eastAsia="標楷體"/>
                <w:bCs/>
                <w:sz w:val="28"/>
                <w:szCs w:val="28"/>
              </w:rPr>
              <w:t>日</w:t>
            </w:r>
            <w:r w:rsidR="00A1429E"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A1429E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A1429E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A1429E"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80EA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A1429E" w:rsidRPr="00580EAD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A1429E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  <w:p w:rsidR="00E413A9" w:rsidRPr="00580EAD" w:rsidRDefault="00C1720D">
            <w:pPr>
              <w:spacing w:line="500" w:lineRule="exact"/>
            </w:pPr>
            <w:r w:rsidRPr="00580EAD">
              <w:rPr>
                <w:rFonts w:eastAsia="標楷體"/>
                <w:sz w:val="28"/>
                <w:szCs w:val="28"/>
              </w:rPr>
              <w:t>地點：</w:t>
            </w:r>
            <w:r w:rsidR="008D4ED1" w:rsidRPr="004F017D">
              <w:rPr>
                <w:rFonts w:eastAsia="標楷體"/>
                <w:color w:val="000000"/>
                <w:sz w:val="28"/>
                <w:szCs w:val="28"/>
              </w:rPr>
              <w:t>藝術樓美術教室</w:t>
            </w:r>
          </w:p>
        </w:tc>
      </w:tr>
    </w:tbl>
    <w:p w:rsidR="00E413A9" w:rsidRPr="00580EAD" w:rsidRDefault="00C1720D">
      <w:pPr>
        <w:rPr>
          <w:rFonts w:eastAsia="標楷體"/>
          <w:color w:val="000000"/>
        </w:rPr>
      </w:pPr>
      <w:r w:rsidRPr="00580EAD">
        <w:rPr>
          <w:rFonts w:eastAsia="標楷體"/>
          <w:color w:val="000000"/>
        </w:rPr>
        <w:tab/>
      </w:r>
    </w:p>
    <w:p w:rsidR="00E413A9" w:rsidRPr="00580EAD" w:rsidRDefault="00C1720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E413A9" w:rsidRPr="00580EAD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 w:rsidRPr="00580EAD">
        <w:rPr>
          <w:rFonts w:eastAsia="標楷體"/>
          <w:b/>
          <w:color w:val="000000"/>
          <w:sz w:val="36"/>
          <w:szCs w:val="36"/>
        </w:rPr>
        <w:tab/>
      </w:r>
    </w:p>
    <w:p w:rsidR="00E413A9" w:rsidRPr="00580EAD" w:rsidRDefault="00C1720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580EAD">
        <w:rPr>
          <w:rFonts w:eastAsia="標楷體"/>
          <w:b/>
          <w:color w:val="000000"/>
          <w:sz w:val="36"/>
          <w:szCs w:val="36"/>
        </w:rPr>
        <w:lastRenderedPageBreak/>
        <w:t>表</w:t>
      </w:r>
      <w:r w:rsidRPr="00580EAD">
        <w:rPr>
          <w:rFonts w:eastAsia="標楷體"/>
          <w:b/>
          <w:color w:val="000000"/>
          <w:sz w:val="36"/>
          <w:szCs w:val="36"/>
        </w:rPr>
        <w:t>2</w:t>
      </w:r>
      <w:r w:rsidRPr="00580EAD"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E413A9" w:rsidRPr="00580E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72744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</w:t>
            </w:r>
            <w:r w:rsidR="009C359C"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慧雯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呂子欣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966FE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90287">
              <w:rPr>
                <w:rFonts w:eastAsia="標楷體"/>
                <w:color w:val="000000"/>
                <w:sz w:val="28"/>
                <w:szCs w:val="28"/>
              </w:rPr>
              <w:t>水與墨的交融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966FE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8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966FE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966FE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、</w:t>
            </w:r>
            <w:r w:rsidR="004B51B1"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413A9" w:rsidRPr="00580EA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公開授課</w:t>
            </w:r>
          </w:p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B65E6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年</w:t>
            </w:r>
            <w:r w:rsidR="00255D44" w:rsidRPr="00580EA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月</w:t>
            </w:r>
            <w:r w:rsidR="00966FEF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E413A9" w:rsidRPr="00580EAD" w:rsidRDefault="00C1720D">
            <w:pPr>
              <w:spacing w:line="400" w:lineRule="exact"/>
              <w:ind w:firstLine="272"/>
            </w:pP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66F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08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255D44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580EA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966FEF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255D44" w:rsidRP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966FE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4F017D">
              <w:rPr>
                <w:rFonts w:eastAsia="標楷體"/>
                <w:color w:val="000000"/>
                <w:sz w:val="28"/>
                <w:szCs w:val="28"/>
              </w:rPr>
              <w:t>藝術樓美術教室</w:t>
            </w:r>
          </w:p>
        </w:tc>
      </w:tr>
      <w:tr w:rsidR="00E413A9" w:rsidRPr="00580EAD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事實摘要敘述</w:t>
            </w:r>
          </w:p>
          <w:p w:rsidR="00E413A9" w:rsidRPr="00580EAD" w:rsidRDefault="00C1720D">
            <w:pPr>
              <w:jc w:val="both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(</w:t>
            </w:r>
            <w:r w:rsidRPr="00580EAD"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 w:rsidRPr="00580EAD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autoSpaceDE w:val="0"/>
            </w:pPr>
            <w:r w:rsidRPr="00580EAD">
              <w:rPr>
                <w:rFonts w:eastAsia="標楷體"/>
                <w:color w:val="000000"/>
              </w:rPr>
              <w:t>評量</w:t>
            </w:r>
            <w:r w:rsidRPr="00580EAD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E413A9" w:rsidRPr="00580EAD">
        <w:trPr>
          <w:cantSplit/>
          <w:trHeight w:val="1091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ind w:left="113" w:right="113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ind w:left="113" w:right="113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ind w:left="120" w:right="113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待成長</w:t>
            </w: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A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課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程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設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計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與</w:t>
            </w:r>
          </w:p>
          <w:p w:rsidR="00E413A9" w:rsidRPr="00580EAD" w:rsidRDefault="00C1720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教</w:t>
            </w:r>
          </w:p>
          <w:p w:rsidR="00E413A9" w:rsidRPr="00580EAD" w:rsidRDefault="00C1720D">
            <w:pPr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276" w:lineRule="auto"/>
              <w:ind w:left="480" w:hanging="480"/>
              <w:jc w:val="both"/>
            </w:pPr>
            <w:r w:rsidRPr="00580EAD">
              <w:rPr>
                <w:rFonts w:eastAsia="標楷體"/>
                <w:bCs/>
                <w:color w:val="000000"/>
              </w:rPr>
              <w:t>A-2</w:t>
            </w:r>
            <w:r w:rsidRPr="00580EAD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9C359C" w:rsidP="009C359C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580EAD"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>A-2-1</w:t>
            </w:r>
            <w:r w:rsidRPr="00580EAD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580EAD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580EAD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/>
              </w:rPr>
              <w:t>（請文字敘述，至少條列三項具體事實摘要並對應三個檢核重點）</w:t>
            </w:r>
          </w:p>
          <w:p w:rsidR="009C359C" w:rsidRPr="00580EAD" w:rsidRDefault="002F64C5" w:rsidP="009C359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 w:hint="eastAsia"/>
                <w:bCs/>
                <w:color w:val="000000"/>
              </w:rPr>
              <w:t>教師以</w:t>
            </w:r>
            <w:r w:rsidR="00FB65E6">
              <w:rPr>
                <w:rFonts w:eastAsia="標楷體" w:hint="eastAsia"/>
                <w:bCs/>
                <w:color w:val="000000"/>
              </w:rPr>
              <w:t>校園景物作為觀察對象</w:t>
            </w:r>
            <w:r w:rsidRPr="00580EAD">
              <w:rPr>
                <w:rFonts w:eastAsia="標楷體" w:hint="eastAsia"/>
                <w:bCs/>
                <w:color w:val="000000"/>
              </w:rPr>
              <w:t>，連結學生</w:t>
            </w:r>
            <w:r w:rsidR="009C359C" w:rsidRPr="00580EAD">
              <w:rPr>
                <w:rFonts w:eastAsia="標楷體"/>
                <w:bCs/>
                <w:color w:val="000000"/>
              </w:rPr>
              <w:t>的生活經驗，引發與維持學生學習動機。</w:t>
            </w:r>
          </w:p>
          <w:p w:rsidR="002B449A" w:rsidRPr="00580EAD" w:rsidRDefault="002B449A" w:rsidP="002B449A">
            <w:pPr>
              <w:pStyle w:val="a3"/>
              <w:spacing w:line="276" w:lineRule="auto"/>
              <w:ind w:left="360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 w:hint="eastAsia"/>
                <w:bCs/>
                <w:color w:val="000000"/>
              </w:rPr>
              <w:t>(</w:t>
            </w:r>
            <w:r w:rsidRPr="00580EAD">
              <w:rPr>
                <w:rFonts w:eastAsia="標楷體"/>
                <w:bCs/>
                <w:color w:val="000000"/>
              </w:rPr>
              <w:t>A-2-1</w:t>
            </w:r>
            <w:r w:rsidRPr="00580EAD">
              <w:rPr>
                <w:rFonts w:eastAsia="標楷體" w:hint="eastAsia"/>
                <w:bCs/>
                <w:color w:val="000000"/>
              </w:rPr>
              <w:t>)</w:t>
            </w:r>
          </w:p>
          <w:p w:rsidR="002B449A" w:rsidRPr="00580EAD" w:rsidRDefault="002F64C5" w:rsidP="002B449A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 w:hint="eastAsia"/>
                <w:bCs/>
                <w:color w:val="000000"/>
              </w:rPr>
              <w:t>教師以簡報、影片等教學資源介紹</w:t>
            </w:r>
            <w:r w:rsidR="00FB65E6">
              <w:rPr>
                <w:rFonts w:eastAsia="標楷體" w:hint="eastAsia"/>
                <w:bCs/>
                <w:color w:val="000000"/>
              </w:rPr>
              <w:t>水墨</w:t>
            </w:r>
            <w:r w:rsidRPr="00580EAD">
              <w:rPr>
                <w:rFonts w:eastAsia="標楷體" w:hint="eastAsia"/>
                <w:bCs/>
                <w:color w:val="000000"/>
              </w:rPr>
              <w:t>藝術，能</w:t>
            </w:r>
            <w:r w:rsidR="009C359C" w:rsidRPr="00580EAD">
              <w:rPr>
                <w:rFonts w:eastAsia="標楷體"/>
                <w:bCs/>
                <w:color w:val="000000"/>
              </w:rPr>
              <w:t>清晰呈現教材內容，協助學生習得重要概念。</w:t>
            </w:r>
            <w:r w:rsidR="002B449A" w:rsidRPr="00580EAD">
              <w:rPr>
                <w:rFonts w:eastAsia="標楷體" w:hint="eastAsia"/>
                <w:bCs/>
                <w:color w:val="000000"/>
              </w:rPr>
              <w:t>(</w:t>
            </w:r>
            <w:r w:rsidR="002B449A" w:rsidRPr="00580EAD">
              <w:rPr>
                <w:rFonts w:eastAsia="標楷體"/>
                <w:bCs/>
                <w:color w:val="000000"/>
              </w:rPr>
              <w:t>A-2-2</w:t>
            </w:r>
            <w:r w:rsidR="002B449A" w:rsidRPr="00580EAD">
              <w:rPr>
                <w:rFonts w:eastAsia="標楷體" w:hint="eastAsia"/>
                <w:bCs/>
                <w:color w:val="000000"/>
              </w:rPr>
              <w:t>)</w:t>
            </w:r>
          </w:p>
          <w:p w:rsidR="009C359C" w:rsidRPr="00580EAD" w:rsidRDefault="006527A9" w:rsidP="006527A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 w:hint="eastAsia"/>
                <w:bCs/>
                <w:color w:val="000000"/>
              </w:rPr>
              <w:t>教師以提問、學生分組討論等活動，引導學生理解</w:t>
            </w:r>
            <w:r w:rsidR="00FB65E6">
              <w:rPr>
                <w:rFonts w:eastAsia="標楷體" w:hint="eastAsia"/>
                <w:bCs/>
                <w:color w:val="000000"/>
              </w:rPr>
              <w:t>課程</w:t>
            </w:r>
            <w:r w:rsidRPr="00580EAD">
              <w:rPr>
                <w:rFonts w:eastAsia="標楷體" w:hint="eastAsia"/>
                <w:bCs/>
                <w:color w:val="000000"/>
              </w:rPr>
              <w:t>內容。</w:t>
            </w:r>
            <w:r w:rsidR="002B449A" w:rsidRPr="00580EAD">
              <w:rPr>
                <w:rFonts w:eastAsia="標楷體" w:hint="eastAsia"/>
                <w:bCs/>
                <w:color w:val="000000"/>
              </w:rPr>
              <w:t>(</w:t>
            </w:r>
            <w:r w:rsidR="002B449A" w:rsidRPr="00580EAD">
              <w:rPr>
                <w:rFonts w:eastAsia="標楷體"/>
                <w:bCs/>
                <w:color w:val="000000"/>
              </w:rPr>
              <w:t>A-2-3</w:t>
            </w:r>
            <w:r w:rsidR="002B449A" w:rsidRPr="00580EAD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A-2-2 </w:t>
            </w:r>
            <w:r w:rsidRPr="00580EAD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A-2-3 </w:t>
            </w:r>
            <w:r w:rsidRPr="00580EAD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A-2-4 </w:t>
            </w:r>
            <w:r w:rsidRPr="00580EAD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580EAD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580EAD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276" w:lineRule="auto"/>
              <w:ind w:left="480" w:hanging="480"/>
              <w:jc w:val="both"/>
            </w:pPr>
            <w:r w:rsidRPr="00580EAD">
              <w:rPr>
                <w:rFonts w:eastAsia="標楷體"/>
                <w:bCs/>
              </w:rPr>
              <w:t>A-3</w:t>
            </w:r>
            <w:r w:rsidRPr="00580EAD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9C359C" w:rsidP="009C359C">
            <w:pPr>
              <w:spacing w:line="276" w:lineRule="auto"/>
              <w:jc w:val="center"/>
              <w:rPr>
                <w:rFonts w:eastAsia="標楷體"/>
              </w:rPr>
            </w:pPr>
            <w:r w:rsidRPr="00580EAD"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A-3-1 </w:t>
            </w:r>
            <w:r w:rsidRPr="00580EAD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/>
              </w:rPr>
              <w:t>（請文字敘述，至少條列二項具體事實摘要並對應二個檢核重點）</w:t>
            </w:r>
          </w:p>
          <w:p w:rsidR="006527A9" w:rsidRPr="00580EAD" w:rsidRDefault="006527A9" w:rsidP="006527A9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 w:hint="eastAsia"/>
              </w:rPr>
              <w:t>教師以小組討論法，引導學生思考、討論藝術</w:t>
            </w:r>
            <w:r w:rsidR="00FB65E6">
              <w:rPr>
                <w:rFonts w:eastAsia="標楷體" w:hint="eastAsia"/>
              </w:rPr>
              <w:t>作品</w:t>
            </w:r>
            <w:r w:rsidRPr="00580EAD">
              <w:rPr>
                <w:rFonts w:eastAsia="標楷體" w:hint="eastAsia"/>
              </w:rPr>
              <w:t>表現</w:t>
            </w:r>
            <w:r w:rsidR="00FB65E6">
              <w:rPr>
                <w:rFonts w:eastAsia="標楷體" w:hint="eastAsia"/>
              </w:rPr>
              <w:t>形式與實際創作應用方法</w:t>
            </w:r>
            <w:r w:rsidRPr="00580EAD">
              <w:rPr>
                <w:rFonts w:eastAsia="標楷體" w:hint="eastAsia"/>
              </w:rPr>
              <w:t>。</w:t>
            </w:r>
            <w:r w:rsidR="000633F2" w:rsidRPr="00580EAD">
              <w:rPr>
                <w:rFonts w:eastAsia="標楷體" w:hint="eastAsia"/>
              </w:rPr>
              <w:t>(</w:t>
            </w:r>
            <w:r w:rsidR="000633F2" w:rsidRPr="00580EAD">
              <w:rPr>
                <w:rFonts w:eastAsia="標楷體"/>
                <w:bCs/>
                <w:color w:val="000000"/>
              </w:rPr>
              <w:t>A-3-1</w:t>
            </w:r>
            <w:r w:rsidR="000633F2" w:rsidRPr="00580EAD">
              <w:rPr>
                <w:rFonts w:eastAsia="標楷體" w:hint="eastAsia"/>
                <w:bCs/>
                <w:color w:val="000000"/>
              </w:rPr>
              <w:t>)</w:t>
            </w:r>
          </w:p>
          <w:p w:rsidR="006527A9" w:rsidRPr="00580EAD" w:rsidRDefault="006527A9" w:rsidP="002B449A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 w:hint="eastAsia"/>
              </w:rPr>
              <w:t>教師</w:t>
            </w:r>
            <w:r w:rsidR="002B449A" w:rsidRPr="00580EAD">
              <w:rPr>
                <w:rFonts w:eastAsia="標楷體" w:hint="eastAsia"/>
              </w:rPr>
              <w:t>觀察各小組討論情形，適時提問、補充，引導討論方向，並協助較少參與討論的學生。</w:t>
            </w:r>
            <w:r w:rsidR="000633F2" w:rsidRPr="00580EAD">
              <w:rPr>
                <w:rFonts w:eastAsia="標楷體" w:hint="eastAsia"/>
              </w:rPr>
              <w:t>(</w:t>
            </w:r>
            <w:r w:rsidR="000633F2" w:rsidRPr="00580EAD">
              <w:rPr>
                <w:rFonts w:eastAsia="標楷體"/>
                <w:bCs/>
                <w:color w:val="000000"/>
              </w:rPr>
              <w:t>A-3-3</w:t>
            </w:r>
            <w:r w:rsidR="000633F2" w:rsidRPr="00580EAD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A-3-2 </w:t>
            </w:r>
            <w:r w:rsidRPr="00580EAD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A-3-3 </w:t>
            </w:r>
            <w:r w:rsidRPr="00580EAD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276" w:lineRule="auto"/>
              <w:jc w:val="both"/>
            </w:pPr>
            <w:r w:rsidRPr="00580EAD">
              <w:rPr>
                <w:rFonts w:eastAsia="標楷體"/>
                <w:bCs/>
              </w:rPr>
              <w:t>A-4</w:t>
            </w:r>
            <w:r w:rsidRPr="00580EAD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9C359C" w:rsidP="009C359C">
            <w:pPr>
              <w:spacing w:line="276" w:lineRule="auto"/>
              <w:jc w:val="center"/>
              <w:rPr>
                <w:rFonts w:eastAsia="標楷體"/>
              </w:rPr>
            </w:pPr>
            <w:r w:rsidRPr="00580EAD"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>A-4-1</w:t>
            </w:r>
            <w:r w:rsidRPr="00580EAD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F2" w:rsidRPr="00580EAD" w:rsidRDefault="00C1720D" w:rsidP="000633F2">
            <w:p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/>
              </w:rPr>
              <w:t>（請文字敘述，至少條列三項具體事實摘要並對應三個檢核重點）</w:t>
            </w:r>
          </w:p>
          <w:p w:rsidR="000633F2" w:rsidRPr="00580EAD" w:rsidRDefault="000633F2" w:rsidP="000633F2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 w:hint="eastAsia"/>
              </w:rPr>
              <w:t>教師以形成性評量及總結性評量，評估學生課堂參與、分組討論及實作等方面。</w:t>
            </w:r>
            <w:r w:rsidRPr="00580EAD">
              <w:rPr>
                <w:rFonts w:eastAsia="標楷體" w:hint="eastAsia"/>
              </w:rPr>
              <w:t>(</w:t>
            </w:r>
            <w:r w:rsidRPr="00580EAD">
              <w:rPr>
                <w:rFonts w:eastAsia="標楷體"/>
                <w:bCs/>
                <w:color w:val="000000"/>
              </w:rPr>
              <w:t xml:space="preserve"> A-4-1</w:t>
            </w:r>
            <w:r w:rsidRPr="00580EAD">
              <w:rPr>
                <w:rFonts w:eastAsia="標楷體" w:hint="eastAsia"/>
                <w:bCs/>
                <w:color w:val="000000"/>
              </w:rPr>
              <w:t>)</w:t>
            </w:r>
          </w:p>
          <w:p w:rsidR="000633F2" w:rsidRPr="00580EAD" w:rsidRDefault="000633F2" w:rsidP="000633F2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標楷體"/>
              </w:rPr>
            </w:pPr>
            <w:r w:rsidRPr="00580EAD">
              <w:rPr>
                <w:rFonts w:eastAsia="標楷體" w:hint="eastAsia"/>
              </w:rPr>
              <w:t>教師依各組討論情形，於課堂中提問、補充相關內容，給予學生適切的回饋。</w:t>
            </w:r>
            <w:r w:rsidRPr="00580EAD">
              <w:rPr>
                <w:rFonts w:eastAsia="標楷體" w:hint="eastAsia"/>
              </w:rPr>
              <w:t>(</w:t>
            </w:r>
            <w:r w:rsidRPr="00580EAD">
              <w:rPr>
                <w:rFonts w:eastAsia="標楷體"/>
                <w:bCs/>
                <w:color w:val="000000"/>
              </w:rPr>
              <w:t>A-4-2</w:t>
            </w:r>
            <w:r w:rsidRPr="00580EAD">
              <w:rPr>
                <w:rFonts w:eastAsia="標楷體" w:hint="eastAsia"/>
                <w:bCs/>
                <w:color w:val="000000"/>
              </w:rPr>
              <w:t>)</w:t>
            </w:r>
          </w:p>
          <w:p w:rsidR="00E413A9" w:rsidRPr="00580EAD" w:rsidRDefault="00FB65E6" w:rsidP="00580EAD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教師觀察學生實作</w:t>
            </w:r>
            <w:r w:rsidR="00905979" w:rsidRPr="00580EAD">
              <w:rPr>
                <w:rFonts w:eastAsia="標楷體" w:hint="eastAsia"/>
              </w:rPr>
              <w:t>情況，決定將</w:t>
            </w:r>
            <w:r>
              <w:rPr>
                <w:rFonts w:eastAsia="標楷體" w:hint="eastAsia"/>
              </w:rPr>
              <w:t>課程</w:t>
            </w:r>
            <w:r w:rsidR="00905979" w:rsidRPr="00580EAD">
              <w:rPr>
                <w:rFonts w:eastAsia="標楷體" w:hint="eastAsia"/>
              </w:rPr>
              <w:t>調整</w:t>
            </w:r>
            <w:r>
              <w:rPr>
                <w:rFonts w:eastAsia="標楷體" w:hint="eastAsia"/>
              </w:rPr>
              <w:t>延長</w:t>
            </w:r>
            <w:r w:rsidR="00905979" w:rsidRPr="00580EAD"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4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，並適時做個別指導</w:t>
            </w:r>
            <w:r w:rsidR="00905979" w:rsidRPr="00580EAD">
              <w:rPr>
                <w:rFonts w:eastAsia="標楷體" w:hint="eastAsia"/>
              </w:rPr>
              <w:t>。</w:t>
            </w:r>
            <w:r w:rsidR="00580EAD" w:rsidRPr="00580EAD">
              <w:rPr>
                <w:rFonts w:eastAsia="標楷體" w:hint="eastAsia"/>
              </w:rPr>
              <w:t>(</w:t>
            </w:r>
            <w:r w:rsidR="00580EAD" w:rsidRPr="00580EAD">
              <w:rPr>
                <w:rFonts w:eastAsia="標楷體"/>
                <w:bCs/>
                <w:color w:val="000000"/>
              </w:rPr>
              <w:t>A-4-3</w:t>
            </w:r>
            <w:r w:rsidR="00580EAD" w:rsidRPr="00580EAD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A-4-2 </w:t>
            </w:r>
            <w:r w:rsidRPr="00580EAD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413A9" w:rsidRPr="00580EAD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>A-4-3</w:t>
            </w:r>
            <w:r w:rsidRPr="00580EAD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413A9" w:rsidRPr="00580EAD" w:rsidTr="00580EAD">
        <w:trPr>
          <w:cantSplit/>
          <w:trHeight w:val="2052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E413A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 w:rsidRPr="00580EAD">
              <w:rPr>
                <w:rFonts w:eastAsia="標楷體"/>
                <w:bCs/>
                <w:color w:val="000000"/>
              </w:rPr>
              <w:t xml:space="preserve">A-4-4 </w:t>
            </w:r>
            <w:r w:rsidRPr="00580EAD"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 w:rsidRPr="00580EAD"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 w:rsidRPr="00580EAD">
              <w:rPr>
                <w:rFonts w:eastAsia="標楷體"/>
                <w:bCs/>
                <w:color w:val="000000"/>
              </w:rPr>
              <w:t>。</w:t>
            </w:r>
            <w:r w:rsidRPr="00580EAD">
              <w:rPr>
                <w:rFonts w:eastAsia="標楷體"/>
                <w:bCs/>
                <w:color w:val="000000"/>
              </w:rPr>
              <w:t>(</w:t>
            </w:r>
            <w:r w:rsidRPr="00580EAD">
              <w:rPr>
                <w:rFonts w:eastAsia="標楷體"/>
                <w:bCs/>
                <w:color w:val="000000"/>
              </w:rPr>
              <w:t>選用</w:t>
            </w:r>
            <w:r w:rsidRPr="00580EAD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E413A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E413A9" w:rsidRPr="00580EAD" w:rsidRDefault="00E413A9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E413A9" w:rsidRPr="00580EAD" w:rsidRDefault="00E413A9">
      <w:pPr>
        <w:pageBreakBefore/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E413A9" w:rsidRPr="00580EAD" w:rsidRDefault="00C1720D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580EAD">
        <w:rPr>
          <w:rFonts w:eastAsia="標楷體"/>
          <w:b/>
          <w:color w:val="000000"/>
          <w:sz w:val="36"/>
          <w:szCs w:val="36"/>
        </w:rPr>
        <w:t>表</w:t>
      </w:r>
      <w:r w:rsidRPr="00580EAD">
        <w:rPr>
          <w:rFonts w:eastAsia="標楷體"/>
          <w:b/>
          <w:color w:val="000000"/>
          <w:sz w:val="36"/>
          <w:szCs w:val="36"/>
        </w:rPr>
        <w:t>3</w:t>
      </w:r>
      <w:r w:rsidRPr="00580EAD">
        <w:rPr>
          <w:rFonts w:eastAsia="標楷體"/>
          <w:b/>
          <w:color w:val="000000"/>
          <w:sz w:val="36"/>
          <w:szCs w:val="36"/>
        </w:rPr>
        <w:t>、教學觀察</w:t>
      </w:r>
      <w:r w:rsidRPr="00580EAD">
        <w:rPr>
          <w:rFonts w:eastAsia="標楷體"/>
          <w:b/>
          <w:color w:val="000000"/>
          <w:sz w:val="36"/>
          <w:szCs w:val="36"/>
        </w:rPr>
        <w:t>/</w:t>
      </w:r>
      <w:r w:rsidRPr="00580EAD"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5"/>
        <w:gridCol w:w="288"/>
        <w:gridCol w:w="2317"/>
        <w:gridCol w:w="749"/>
        <w:gridCol w:w="166"/>
        <w:gridCol w:w="836"/>
        <w:gridCol w:w="390"/>
        <w:gridCol w:w="1142"/>
        <w:gridCol w:w="1928"/>
      </w:tblGrid>
      <w:tr w:rsidR="00E413A9" w:rsidRPr="00580EAD" w:rsidTr="00B4109D">
        <w:trPr>
          <w:trHeight w:val="642"/>
        </w:trPr>
        <w:tc>
          <w:tcPr>
            <w:tcW w:w="26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580EA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蕭慧雯</w:t>
            </w: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 w:rsidTr="00B4109D">
        <w:trPr>
          <w:trHeight w:val="642"/>
        </w:trPr>
        <w:tc>
          <w:tcPr>
            <w:tcW w:w="26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呂子欣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七年級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255D4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視覺藝術</w:t>
            </w:r>
          </w:p>
        </w:tc>
      </w:tr>
      <w:tr w:rsidR="00E413A9" w:rsidRPr="00580EAD" w:rsidTr="00B4109D">
        <w:trPr>
          <w:trHeight w:val="642"/>
        </w:trPr>
        <w:tc>
          <w:tcPr>
            <w:tcW w:w="26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B65E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90287">
              <w:rPr>
                <w:rFonts w:eastAsia="標楷體"/>
                <w:color w:val="000000"/>
                <w:sz w:val="28"/>
                <w:szCs w:val="28"/>
              </w:rPr>
              <w:t>水與墨的交融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FB65E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8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FB65E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FB65E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、</w:t>
            </w:r>
            <w:r w:rsidR="00255D44" w:rsidRPr="00580EA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580EAD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580EAD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E413A9" w:rsidRPr="00580EAD" w:rsidTr="00B4109D">
        <w:trPr>
          <w:trHeight w:val="64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EAD"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B65E6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年</w:t>
            </w:r>
            <w:r w:rsidR="00580EA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C1720D" w:rsidRPr="00580EAD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E413A9" w:rsidRPr="00580EAD" w:rsidRDefault="00C1720D">
            <w:pPr>
              <w:spacing w:line="400" w:lineRule="exact"/>
              <w:ind w:firstLine="272"/>
            </w:pP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FB65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08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FB65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80EAD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FB65E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580E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80E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1720D">
            <w:pPr>
              <w:spacing w:line="400" w:lineRule="exact"/>
              <w:jc w:val="center"/>
            </w:pPr>
            <w:r w:rsidRPr="00580EAD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FB65E6" w:rsidP="00FB65E6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  <w:r w:rsidRPr="004F017D">
              <w:rPr>
                <w:rFonts w:eastAsia="標楷體"/>
                <w:color w:val="000000"/>
                <w:sz w:val="28"/>
                <w:szCs w:val="28"/>
              </w:rPr>
              <w:t>藝術樓美術教室</w:t>
            </w:r>
          </w:p>
        </w:tc>
      </w:tr>
      <w:tr w:rsidR="00E413A9" w:rsidRPr="00580EAD" w:rsidTr="00B4109D">
        <w:trPr>
          <w:trHeight w:val="482"/>
        </w:trPr>
        <w:tc>
          <w:tcPr>
            <w:tcW w:w="104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E413A9" w:rsidRPr="00580EAD" w:rsidTr="00B4109D">
        <w:trPr>
          <w:trHeight w:val="2299"/>
        </w:trPr>
        <w:tc>
          <w:tcPr>
            <w:tcW w:w="1042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413A9" w:rsidRPr="00580EAD" w:rsidRDefault="00585E0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教師能適時引導學生思考、討論並給予回饋。學生能理解課程內容重點並參與課堂討論，同儕互動氣氛融洽。</w:t>
            </w:r>
          </w:p>
        </w:tc>
      </w:tr>
      <w:tr w:rsidR="00E413A9" w:rsidRPr="00580EAD" w:rsidTr="00B4109D">
        <w:trPr>
          <w:trHeight w:val="2652"/>
        </w:trPr>
        <w:tc>
          <w:tcPr>
            <w:tcW w:w="1042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 w:rsidRPr="00580EAD"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 w:rsidRPr="00580EAD">
              <w:rPr>
                <w:rFonts w:eastAsia="標楷體"/>
                <w:color w:val="000000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:rsidR="00E413A9" w:rsidRPr="00580EAD" w:rsidRDefault="00FB65E6" w:rsidP="00C16D0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教師可再精進提問方法，增進討論的深</w:t>
            </w:r>
            <w:r w:rsidR="00585E0B">
              <w:rPr>
                <w:rFonts w:eastAsia="標楷體" w:hint="eastAsia"/>
                <w:color w:val="000000"/>
                <w:sz w:val="28"/>
                <w:szCs w:val="28"/>
              </w:rPr>
              <w:t>度。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部分學生於分組討論時較為被動，或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僅討論</w:t>
            </w:r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基礎知識內容，教師可再思考調整課程活動的時間分配、教材內容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等，以助學生提升</w:t>
            </w:r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學習深度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E413A9" w:rsidRPr="00580EAD" w:rsidTr="00B4109D">
        <w:trPr>
          <w:trHeight w:val="3699"/>
        </w:trPr>
        <w:tc>
          <w:tcPr>
            <w:tcW w:w="1042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580EAD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E413A9" w:rsidRPr="00580EAD" w:rsidRDefault="001975F1" w:rsidP="00C16D0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觀課時發現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觀察</w:t>
            </w:r>
            <w:proofErr w:type="gramStart"/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實作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能激發</w:t>
            </w:r>
            <w:proofErr w:type="gramEnd"/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許多創意與思考，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以往課程創作活動多是以</w:t>
            </w:r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指定題材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的方式進行。未來</w:t>
            </w:r>
            <w:r w:rsidR="00B4109D">
              <w:rPr>
                <w:rFonts w:eastAsia="標楷體" w:hint="eastAsia"/>
                <w:color w:val="000000"/>
                <w:sz w:val="28"/>
                <w:szCs w:val="28"/>
              </w:rPr>
              <w:t>在引導學生創作活動時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，可思考於創作進行前加入</w:t>
            </w:r>
            <w:r w:rsidR="00C16D01">
              <w:rPr>
                <w:rFonts w:eastAsia="標楷體" w:hint="eastAsia"/>
                <w:color w:val="000000"/>
                <w:sz w:val="28"/>
                <w:szCs w:val="28"/>
              </w:rPr>
              <w:t>生活觀察及記錄等活動。</w:t>
            </w:r>
          </w:p>
        </w:tc>
      </w:tr>
    </w:tbl>
    <w:p w:rsidR="00E413A9" w:rsidRPr="00580EAD" w:rsidRDefault="00E413A9">
      <w:pPr>
        <w:rPr>
          <w:rFonts w:ascii="標楷體" w:eastAsia="標楷體" w:hAnsi="標楷體"/>
          <w:b/>
          <w:color w:val="000000"/>
          <w:szCs w:val="40"/>
        </w:rPr>
      </w:pPr>
    </w:p>
    <w:p w:rsidR="00E413A9" w:rsidRPr="00580EAD" w:rsidRDefault="00E413A9">
      <w:pPr>
        <w:pageBreakBefore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E413A9" w:rsidRPr="00580EAD" w:rsidRDefault="00C1720D">
      <w:pPr>
        <w:rPr>
          <w:rFonts w:ascii="標楷體" w:eastAsia="標楷體" w:hAnsi="標楷體"/>
          <w:b/>
          <w:color w:val="000000"/>
          <w:sz w:val="40"/>
          <w:szCs w:val="40"/>
        </w:rPr>
      </w:pPr>
      <w:r w:rsidRPr="00580EAD">
        <w:rPr>
          <w:rFonts w:ascii="標楷體" w:eastAsia="標楷體" w:hAnsi="標楷體"/>
          <w:b/>
          <w:color w:val="000000"/>
          <w:sz w:val="40"/>
          <w:szCs w:val="40"/>
        </w:rPr>
        <w:t>附件-</w:t>
      </w:r>
      <w:proofErr w:type="gramStart"/>
      <w:r w:rsidRPr="00580EAD">
        <w:rPr>
          <w:rFonts w:ascii="標楷體" w:eastAsia="標楷體" w:hAnsi="標楷體"/>
          <w:b/>
          <w:color w:val="000000"/>
          <w:sz w:val="40"/>
          <w:szCs w:val="40"/>
        </w:rPr>
        <w:t>觀課照片</w:t>
      </w:r>
      <w:proofErr w:type="gramEnd"/>
      <w:r w:rsidRPr="00580EAD">
        <w:rPr>
          <w:rFonts w:ascii="標楷體" w:eastAsia="標楷體" w:hAnsi="標楷體"/>
          <w:b/>
          <w:color w:val="000000"/>
          <w:sz w:val="40"/>
          <w:szCs w:val="40"/>
        </w:rPr>
        <w:t>(兩張)</w:t>
      </w:r>
    </w:p>
    <w:tbl>
      <w:tblPr>
        <w:tblW w:w="10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5"/>
      </w:tblGrid>
      <w:tr w:rsidR="00E413A9" w:rsidRPr="00580EAD" w:rsidTr="00C943F0">
        <w:trPr>
          <w:trHeight w:val="4651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943F0" w:rsidP="00C943F0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3717850" cy="27889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322" cy="282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13A9" w:rsidRPr="00580EAD" w:rsidTr="00B4109D">
        <w:trPr>
          <w:trHeight w:val="504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Pr="00580EAD" w:rsidRDefault="00C1720D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580EAD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  <w:r w:rsidR="00AA0B4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="00C16D01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學生</w:t>
            </w:r>
            <w:r w:rsidR="00AA0B4F" w:rsidRPr="00AA0B4F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觀察</w:t>
            </w:r>
            <w:r w:rsidR="00C16D01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校園景物並記錄</w:t>
            </w:r>
          </w:p>
        </w:tc>
      </w:tr>
      <w:tr w:rsidR="00E413A9" w:rsidRPr="00580EAD" w:rsidTr="00AA0B4F">
        <w:trPr>
          <w:trHeight w:val="6052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3A9" w:rsidRPr="00580EAD" w:rsidRDefault="00C943F0" w:rsidP="00AA0B4F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2583674" cy="3444240"/>
                  <wp:effectExtent l="0" t="0" r="762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20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97" cy="350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3A9" w:rsidTr="00B4109D">
        <w:trPr>
          <w:trHeight w:val="485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3A9" w:rsidRDefault="00C1720D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580EAD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  <w:r w:rsidR="00C16D01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學生</w:t>
            </w:r>
            <w:r w:rsidR="00C16D01" w:rsidRPr="00AA0B4F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觀察</w:t>
            </w:r>
            <w:r w:rsidR="00C16D01">
              <w:rPr>
                <w:rFonts w:ascii="標楷體" w:eastAsia="標楷體" w:hAnsi="標楷體" w:hint="eastAsia"/>
                <w:b/>
                <w:color w:val="000000"/>
                <w:sz w:val="28"/>
                <w:szCs w:val="40"/>
              </w:rPr>
              <w:t>校園景物並記錄</w:t>
            </w:r>
          </w:p>
        </w:tc>
      </w:tr>
    </w:tbl>
    <w:p w:rsidR="00E413A9" w:rsidRDefault="00E413A9" w:rsidP="00C943F0">
      <w:pPr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sectPr w:rsidR="00E413A9"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70" w:rsidRDefault="007E6D70">
      <w:r>
        <w:separator/>
      </w:r>
    </w:p>
  </w:endnote>
  <w:endnote w:type="continuationSeparator" w:id="0">
    <w:p w:rsidR="007E6D70" w:rsidRDefault="007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43" w:rsidRDefault="007E6D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70" w:rsidRDefault="007E6D70">
      <w:r>
        <w:rPr>
          <w:color w:val="000000"/>
        </w:rPr>
        <w:separator/>
      </w:r>
    </w:p>
  </w:footnote>
  <w:footnote w:type="continuationSeparator" w:id="0">
    <w:p w:rsidR="007E6D70" w:rsidRDefault="007E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69E"/>
    <w:multiLevelType w:val="hybridMultilevel"/>
    <w:tmpl w:val="EF343230"/>
    <w:lvl w:ilvl="0" w:tplc="16E6E5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C3347"/>
    <w:multiLevelType w:val="hybridMultilevel"/>
    <w:tmpl w:val="042ECCE6"/>
    <w:lvl w:ilvl="0" w:tplc="3BD83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5773"/>
    <w:multiLevelType w:val="hybridMultilevel"/>
    <w:tmpl w:val="630A03B4"/>
    <w:lvl w:ilvl="0" w:tplc="99D64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B0AE0"/>
    <w:multiLevelType w:val="hybridMultilevel"/>
    <w:tmpl w:val="AFFAAE4C"/>
    <w:lvl w:ilvl="0" w:tplc="FB3AA4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87CA0"/>
    <w:multiLevelType w:val="hybridMultilevel"/>
    <w:tmpl w:val="DCCE822C"/>
    <w:lvl w:ilvl="0" w:tplc="8CE6C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37BF"/>
    <w:multiLevelType w:val="hybridMultilevel"/>
    <w:tmpl w:val="77F43776"/>
    <w:lvl w:ilvl="0" w:tplc="29C0F6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A1AE3"/>
    <w:multiLevelType w:val="multilevel"/>
    <w:tmpl w:val="74E046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B38A0"/>
    <w:multiLevelType w:val="hybridMultilevel"/>
    <w:tmpl w:val="D83618AC"/>
    <w:lvl w:ilvl="0" w:tplc="6B40D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867BE"/>
    <w:multiLevelType w:val="hybridMultilevel"/>
    <w:tmpl w:val="BD68B64C"/>
    <w:lvl w:ilvl="0" w:tplc="D8305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842565"/>
    <w:multiLevelType w:val="hybridMultilevel"/>
    <w:tmpl w:val="45C6400A"/>
    <w:lvl w:ilvl="0" w:tplc="0D36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F565B"/>
    <w:multiLevelType w:val="hybridMultilevel"/>
    <w:tmpl w:val="19D6687A"/>
    <w:lvl w:ilvl="0" w:tplc="8FC03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815772"/>
    <w:multiLevelType w:val="hybridMultilevel"/>
    <w:tmpl w:val="FFCCDEC4"/>
    <w:lvl w:ilvl="0" w:tplc="334AF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2D592B"/>
    <w:multiLevelType w:val="hybridMultilevel"/>
    <w:tmpl w:val="58EE3498"/>
    <w:lvl w:ilvl="0" w:tplc="F350C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981F51"/>
    <w:multiLevelType w:val="hybridMultilevel"/>
    <w:tmpl w:val="4F92EF1A"/>
    <w:lvl w:ilvl="0" w:tplc="3A9A7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B67D51"/>
    <w:multiLevelType w:val="hybridMultilevel"/>
    <w:tmpl w:val="D330502A"/>
    <w:lvl w:ilvl="0" w:tplc="0878301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E48FC"/>
    <w:multiLevelType w:val="hybridMultilevel"/>
    <w:tmpl w:val="9DE4DBDE"/>
    <w:lvl w:ilvl="0" w:tplc="62968F8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E2463"/>
    <w:multiLevelType w:val="hybridMultilevel"/>
    <w:tmpl w:val="C14C16CA"/>
    <w:lvl w:ilvl="0" w:tplc="4B08C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846D5F"/>
    <w:multiLevelType w:val="hybridMultilevel"/>
    <w:tmpl w:val="22CC3F3E"/>
    <w:lvl w:ilvl="0" w:tplc="7D7A3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D07DF0"/>
    <w:multiLevelType w:val="hybridMultilevel"/>
    <w:tmpl w:val="C818DA7E"/>
    <w:lvl w:ilvl="0" w:tplc="67BC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17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9"/>
    <w:rsid w:val="000633F2"/>
    <w:rsid w:val="000A2780"/>
    <w:rsid w:val="000D6F06"/>
    <w:rsid w:val="001975F1"/>
    <w:rsid w:val="00255D44"/>
    <w:rsid w:val="002B449A"/>
    <w:rsid w:val="002D7EAE"/>
    <w:rsid w:val="002F11A4"/>
    <w:rsid w:val="002F64C5"/>
    <w:rsid w:val="00303A36"/>
    <w:rsid w:val="0049132E"/>
    <w:rsid w:val="004B51B1"/>
    <w:rsid w:val="004F017D"/>
    <w:rsid w:val="00576562"/>
    <w:rsid w:val="00580EAD"/>
    <w:rsid w:val="00585E0B"/>
    <w:rsid w:val="005A6218"/>
    <w:rsid w:val="006527A9"/>
    <w:rsid w:val="00705513"/>
    <w:rsid w:val="0072744F"/>
    <w:rsid w:val="007816E8"/>
    <w:rsid w:val="007B1E7B"/>
    <w:rsid w:val="007E6D70"/>
    <w:rsid w:val="00800899"/>
    <w:rsid w:val="00863C8D"/>
    <w:rsid w:val="00885024"/>
    <w:rsid w:val="008D4ED1"/>
    <w:rsid w:val="00905979"/>
    <w:rsid w:val="00966FEF"/>
    <w:rsid w:val="009C359C"/>
    <w:rsid w:val="00A1429E"/>
    <w:rsid w:val="00AA0B4F"/>
    <w:rsid w:val="00AC5FCA"/>
    <w:rsid w:val="00B4109D"/>
    <w:rsid w:val="00BC7D82"/>
    <w:rsid w:val="00C16D01"/>
    <w:rsid w:val="00C1720D"/>
    <w:rsid w:val="00C26FB4"/>
    <w:rsid w:val="00C3108E"/>
    <w:rsid w:val="00C54F91"/>
    <w:rsid w:val="00C943F0"/>
    <w:rsid w:val="00CB3D7E"/>
    <w:rsid w:val="00E413A9"/>
    <w:rsid w:val="00E659DC"/>
    <w:rsid w:val="00E763EB"/>
    <w:rsid w:val="00E90287"/>
    <w:rsid w:val="00FB65E6"/>
    <w:rsid w:val="00FD7604"/>
    <w:rsid w:val="00FD7FD5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19A5"/>
  <w15:docId w15:val="{06D0F3B1-3A26-4714-AC0F-942B350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qFormat/>
    <w:pPr>
      <w:ind w:left="480"/>
    </w:p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</cp:lastModifiedBy>
  <cp:revision>6</cp:revision>
  <cp:lastPrinted>2018-06-28T03:48:00Z</cp:lastPrinted>
  <dcterms:created xsi:type="dcterms:W3CDTF">2021-06-30T10:24:00Z</dcterms:created>
  <dcterms:modified xsi:type="dcterms:W3CDTF">2021-06-30T11:13:00Z</dcterms:modified>
</cp:coreProperties>
</file>