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66" w:rsidRPr="00365912" w:rsidRDefault="00010B66" w:rsidP="00010B66">
      <w:pPr>
        <w:pageBreakBefore/>
        <w:jc w:val="center"/>
        <w:outlineLvl w:val="2"/>
        <w:rPr>
          <w:rFonts w:eastAsia="標楷體"/>
          <w:b/>
          <w:sz w:val="36"/>
          <w:szCs w:val="36"/>
        </w:rPr>
      </w:pPr>
      <w:bookmarkStart w:id="0" w:name="_Toc11412936"/>
      <w:r w:rsidRPr="00365912">
        <w:rPr>
          <w:rFonts w:eastAsia="標楷體"/>
          <w:b/>
          <w:sz w:val="36"/>
          <w:szCs w:val="36"/>
        </w:rPr>
        <w:t>表</w:t>
      </w:r>
      <w:r w:rsidRPr="00365912">
        <w:rPr>
          <w:rFonts w:eastAsia="標楷體"/>
          <w:b/>
          <w:sz w:val="36"/>
          <w:szCs w:val="36"/>
        </w:rPr>
        <w:t>1</w:t>
      </w:r>
      <w:r w:rsidRPr="00365912">
        <w:rPr>
          <w:rFonts w:eastAsia="標楷體"/>
          <w:b/>
          <w:sz w:val="36"/>
          <w:szCs w:val="36"/>
        </w:rPr>
        <w:t>、公開授課</w:t>
      </w:r>
      <w:r w:rsidRPr="00365912">
        <w:rPr>
          <w:rFonts w:eastAsia="標楷體" w:hint="eastAsia"/>
          <w:b/>
          <w:sz w:val="36"/>
          <w:szCs w:val="32"/>
        </w:rPr>
        <w:t>∕</w:t>
      </w:r>
      <w:r w:rsidRPr="00365912">
        <w:rPr>
          <w:rFonts w:eastAsia="標楷體" w:hint="eastAsia"/>
          <w:b/>
          <w:sz w:val="36"/>
          <w:szCs w:val="36"/>
        </w:rPr>
        <w:t>教學觀察</w:t>
      </w:r>
      <w:r w:rsidRPr="00365912">
        <w:rPr>
          <w:rFonts w:eastAsia="標楷體"/>
          <w:b/>
          <w:sz w:val="36"/>
          <w:szCs w:val="36"/>
        </w:rPr>
        <w:t>－觀察前會談紀錄表</w:t>
      </w:r>
      <w:r w:rsidRPr="00365912">
        <w:rPr>
          <w:rFonts w:eastAsia="標楷體" w:hint="eastAsia"/>
          <w:b/>
          <w:sz w:val="36"/>
          <w:szCs w:val="36"/>
        </w:rPr>
        <w:t>（乙式）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0"/>
        <w:gridCol w:w="1915"/>
        <w:gridCol w:w="748"/>
        <w:gridCol w:w="808"/>
        <w:gridCol w:w="1282"/>
        <w:gridCol w:w="1513"/>
      </w:tblGrid>
      <w:tr w:rsidR="00010B66" w:rsidRPr="00365912" w:rsidTr="002D29AB">
        <w:trPr>
          <w:trHeight w:val="800"/>
          <w:jc w:val="center"/>
        </w:trPr>
        <w:tc>
          <w:tcPr>
            <w:tcW w:w="2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蔡雯卿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藝術與人文領域</w:t>
            </w:r>
            <w:r w:rsidRPr="00365912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美勞</w:t>
            </w:r>
          </w:p>
        </w:tc>
      </w:tr>
      <w:tr w:rsidR="00010B66" w:rsidRPr="00365912" w:rsidTr="002D29AB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</w:t>
            </w:r>
          </w:p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434" w:type="dxa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李美鑾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27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藝術與人文領域</w:t>
            </w:r>
            <w:r w:rsidRPr="00365912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體育</w:t>
            </w:r>
          </w:p>
        </w:tc>
      </w:tr>
      <w:tr w:rsidR="00010B66" w:rsidRPr="00365912" w:rsidTr="002D29AB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434" w:type="dxa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52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反反覆覆排著隊</w:t>
            </w:r>
          </w:p>
        </w:tc>
      </w:tr>
      <w:tr w:rsidR="00010B66" w:rsidRPr="00365912" w:rsidTr="002D29AB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觀察前會談</w:t>
            </w:r>
          </w:p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434" w:type="dxa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年月日</w:t>
            </w:r>
          </w:p>
        </w:tc>
        <w:tc>
          <w:tcPr>
            <w:tcW w:w="184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2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師休息室</w:t>
            </w:r>
          </w:p>
        </w:tc>
      </w:tr>
      <w:tr w:rsidR="00010B66" w:rsidRPr="00365912" w:rsidTr="002D29AB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預定入班教學觀察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434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年月日</w:t>
            </w:r>
          </w:p>
        </w:tc>
        <w:tc>
          <w:tcPr>
            <w:tcW w:w="1842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29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10B66" w:rsidRPr="00365912" w:rsidRDefault="00010B66" w:rsidP="002D29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65912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010B66" w:rsidRPr="00365912" w:rsidTr="002D29AB">
        <w:trPr>
          <w:trHeight w:val="2426"/>
          <w:jc w:val="center"/>
        </w:trPr>
        <w:tc>
          <w:tcPr>
            <w:tcW w:w="103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一、學習目標（含核心素養、學習表現與學習內容）：</w:t>
            </w:r>
          </w:p>
          <w:p w:rsidR="00010B66" w:rsidRPr="00365912" w:rsidRDefault="00010B66" w:rsidP="002D2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（一）核心素養：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藝-E-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參與藝術活動，探索生活美感。</w:t>
            </w:r>
          </w:p>
          <w:p w:rsidR="00010B66" w:rsidRPr="002367BE" w:rsidRDefault="00010B66" w:rsidP="002D2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（二）學習表現：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能試探媒材特性與技法進行創作</w:t>
            </w:r>
            <w:r w:rsidRPr="002367B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010B66" w:rsidRPr="002367BE" w:rsidRDefault="00010B66" w:rsidP="002D2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</w:p>
          <w:p w:rsidR="00010B66" w:rsidRPr="002367BE" w:rsidRDefault="00010B66" w:rsidP="002D2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>（三）學習內容：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媒材技法及工具知能</w:t>
            </w:r>
            <w:r w:rsidRPr="002367B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010B66" w:rsidRPr="002367BE" w:rsidRDefault="00010B66" w:rsidP="002D2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視P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2生活實作與環境布置</w:t>
            </w:r>
            <w:r w:rsidRPr="002367B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010B66" w:rsidRPr="00365912" w:rsidRDefault="00010B66" w:rsidP="002D2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（四）學習目標：</w:t>
            </w:r>
          </w:p>
          <w:p w:rsidR="00010B66" w:rsidRPr="00365912" w:rsidRDefault="00010B66" w:rsidP="002D2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能探索並嘗試利用基本反覆圖安排列出更多組合，並分析與練習包裝紙上反覆的圖案與組合方式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10B66" w:rsidRPr="00365912" w:rsidRDefault="00010B66" w:rsidP="002D29AB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2.能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探索與應用各種媒材的特性進行具有反覆美感的卡片製作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10B66" w:rsidRPr="00365912" w:rsidTr="002D29AB">
        <w:trPr>
          <w:trHeight w:val="2426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lastRenderedPageBreak/>
              <w:t>二、學生經驗</w:t>
            </w:r>
            <w:r w:rsidRPr="00365912">
              <w:rPr>
                <w:rFonts w:eastAsia="標楷體"/>
                <w:sz w:val="28"/>
                <w:szCs w:val="28"/>
              </w:rPr>
              <w:t>(</w:t>
            </w:r>
            <w:r w:rsidRPr="00365912">
              <w:rPr>
                <w:rFonts w:eastAsia="標楷體"/>
                <w:sz w:val="28"/>
                <w:szCs w:val="28"/>
              </w:rPr>
              <w:t>含學生先備知識、起點行為、學生特性</w:t>
            </w:r>
            <w:r w:rsidRPr="00365912">
              <w:rPr>
                <w:rFonts w:eastAsia="標楷體"/>
                <w:sz w:val="28"/>
                <w:szCs w:val="28"/>
              </w:rPr>
              <w:t>…</w:t>
            </w:r>
            <w:r w:rsidRPr="00365912">
              <w:rPr>
                <w:rFonts w:eastAsia="標楷體"/>
                <w:sz w:val="28"/>
                <w:szCs w:val="28"/>
              </w:rPr>
              <w:t>等</w:t>
            </w:r>
            <w:r w:rsidRPr="00365912">
              <w:rPr>
                <w:rFonts w:eastAsia="標楷體"/>
                <w:sz w:val="28"/>
                <w:szCs w:val="28"/>
              </w:rPr>
              <w:t>)</w:t>
            </w:r>
            <w:r w:rsidRPr="00365912">
              <w:rPr>
                <w:rFonts w:eastAsia="標楷體"/>
                <w:sz w:val="28"/>
                <w:szCs w:val="28"/>
              </w:rPr>
              <w:t>：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（一）學生先備知識和起點行為：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1.</w:t>
            </w:r>
            <w:r w:rsidRPr="00365912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>已了解反覆之美的原則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（二）學生特性：</w:t>
            </w:r>
          </w:p>
          <w:p w:rsidR="00010B66" w:rsidRPr="00A524D3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65912">
              <w:rPr>
                <w:rFonts w:eastAsia="標楷體" w:hint="eastAsia"/>
                <w:sz w:val="28"/>
                <w:szCs w:val="28"/>
              </w:rPr>
              <w:t>全班學生：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班上常規不錯，透過老師鼓勵，會更積極表現。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010B66" w:rsidRPr="00365912" w:rsidTr="002D29AB">
        <w:trPr>
          <w:trHeight w:val="2426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（一）教學流程：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1.</w:t>
            </w:r>
            <w:r w:rsidRPr="00365912">
              <w:rPr>
                <w:rFonts w:eastAsia="標楷體" w:hint="eastAsia"/>
                <w:sz w:val="28"/>
                <w:szCs w:val="28"/>
              </w:rPr>
              <w:t>引起動機：</w:t>
            </w:r>
            <w:r>
              <w:rPr>
                <w:rFonts w:eastAsia="標楷體" w:hint="eastAsia"/>
                <w:sz w:val="28"/>
                <w:szCs w:val="28"/>
              </w:rPr>
              <w:t>欣賞課本例圖，及卡片製作影片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10B66" w:rsidRDefault="00010B66" w:rsidP="002D29A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2.發展活動：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嘗試將已蓋印好的紙張進行剪裁與拼貼，製作出卡片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指導學生執行想法分享作品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（二）教學策略：課堂講述、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影片教學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討論分享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10B66" w:rsidRPr="00365912" w:rsidTr="002D29AB">
        <w:trPr>
          <w:trHeight w:val="2426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四、學生學習策略或方法：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（一）學習策略：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摘要</w:t>
            </w:r>
            <w:r w:rsidRPr="00365912">
              <w:rPr>
                <w:rFonts w:eastAsia="標楷體" w:hint="eastAsia"/>
                <w:sz w:val="28"/>
                <w:szCs w:val="28"/>
              </w:rPr>
              <w:t>法：</w:t>
            </w:r>
            <w:r>
              <w:rPr>
                <w:rFonts w:eastAsia="標楷體" w:hint="eastAsia"/>
                <w:sz w:val="28"/>
                <w:szCs w:val="28"/>
              </w:rPr>
              <w:t>老師將之前學習的反覆原則，摘要重點再說明一次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2.</w:t>
            </w:r>
            <w:r w:rsidRPr="00365912">
              <w:rPr>
                <w:rFonts w:eastAsia="標楷體" w:hint="eastAsia"/>
                <w:sz w:val="28"/>
                <w:szCs w:val="28"/>
              </w:rPr>
              <w:t>學習輔助策略：能在老師示範</w:t>
            </w:r>
            <w:r>
              <w:rPr>
                <w:rFonts w:eastAsia="標楷體" w:hint="eastAsia"/>
                <w:sz w:val="28"/>
                <w:szCs w:val="28"/>
              </w:rPr>
              <w:t>引導</w:t>
            </w:r>
            <w:r w:rsidRPr="00365912">
              <w:rPr>
                <w:rFonts w:eastAsia="標楷體" w:hint="eastAsia"/>
                <w:sz w:val="28"/>
                <w:szCs w:val="28"/>
              </w:rPr>
              <w:t>下，進行學習活動。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（二）學習方法：學生透過</w:t>
            </w:r>
            <w:r>
              <w:rPr>
                <w:rFonts w:eastAsia="標楷體" w:hint="eastAsia"/>
                <w:sz w:val="28"/>
                <w:szCs w:val="28"/>
              </w:rPr>
              <w:t>影片教學及老師指導，製作出卡片。</w:t>
            </w:r>
          </w:p>
        </w:tc>
      </w:tr>
      <w:tr w:rsidR="00010B66" w:rsidRPr="00365912" w:rsidTr="002D29AB">
        <w:trPr>
          <w:trHeight w:val="3094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（例如：實作評量、</w:t>
            </w:r>
            <w:r w:rsidRPr="00365912">
              <w:rPr>
                <w:rFonts w:eastAsia="標楷體" w:hint="eastAsia"/>
                <w:sz w:val="28"/>
                <w:szCs w:val="28"/>
              </w:rPr>
              <w:t>檔案評量、</w:t>
            </w:r>
            <w:r w:rsidRPr="00365912">
              <w:rPr>
                <w:rFonts w:eastAsia="標楷體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365912">
              <w:rPr>
                <w:rFonts w:eastAsia="標楷體" w:hint="eastAsia"/>
                <w:sz w:val="28"/>
                <w:szCs w:val="28"/>
              </w:rPr>
              <w:t>或</w:t>
            </w:r>
            <w:r w:rsidRPr="00365912">
              <w:rPr>
                <w:rFonts w:eastAsia="標楷體"/>
                <w:sz w:val="28"/>
                <w:szCs w:val="28"/>
              </w:rPr>
              <w:t>其他。）</w:t>
            </w:r>
          </w:p>
          <w:p w:rsidR="00010B66" w:rsidRPr="00365912" w:rsidRDefault="00010B66" w:rsidP="00010B66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Pr="0036591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學生主動分享作品的特色</w:t>
            </w:r>
          </w:p>
          <w:p w:rsidR="00010B66" w:rsidRPr="00365912" w:rsidRDefault="00010B66" w:rsidP="00010B66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實作</w:t>
            </w:r>
            <w:r w:rsidRPr="0036591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能運用媒材進行創作，遭遇困難時能尋求解決方法</w:t>
            </w:r>
          </w:p>
        </w:tc>
      </w:tr>
      <w:tr w:rsidR="00010B66" w:rsidRPr="00365912" w:rsidTr="002D29AB">
        <w:trPr>
          <w:trHeight w:val="723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六、觀察焦點</w:t>
            </w:r>
            <w:r w:rsidRPr="00365912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學生課堂參與程度</w:t>
            </w:r>
          </w:p>
        </w:tc>
      </w:tr>
      <w:tr w:rsidR="00010B66" w:rsidRPr="00365912" w:rsidTr="002D29AB">
        <w:trPr>
          <w:trHeight w:val="1689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七</w:t>
            </w:r>
            <w:r w:rsidRPr="00365912">
              <w:rPr>
                <w:rFonts w:eastAsia="標楷體"/>
                <w:sz w:val="28"/>
                <w:szCs w:val="28"/>
              </w:rPr>
              <w:t>、觀察工具</w:t>
            </w:r>
            <w:r w:rsidRPr="00365912">
              <w:rPr>
                <w:rFonts w:eastAsia="標楷體" w:hint="eastAsia"/>
                <w:sz w:val="28"/>
                <w:szCs w:val="28"/>
              </w:rPr>
              <w:t>（</w:t>
            </w:r>
            <w:r w:rsidRPr="00365912">
              <w:rPr>
                <w:rFonts w:ascii="標楷體" w:eastAsia="標楷體" w:hAnsi="標楷體" w:hint="eastAsia"/>
                <w:sz w:val="28"/>
              </w:rPr>
              <w:t>請依觀察焦點選擇適切的觀察工具，可參考附件「觀察焦點與觀察工具的選擇」</w:t>
            </w:r>
            <w:r w:rsidRPr="00365912">
              <w:rPr>
                <w:rFonts w:eastAsia="標楷體" w:hint="eastAsia"/>
                <w:sz w:val="28"/>
                <w:szCs w:val="28"/>
              </w:rPr>
              <w:t>）</w:t>
            </w:r>
            <w:r w:rsidRPr="00365912">
              <w:rPr>
                <w:rFonts w:eastAsia="標楷體"/>
                <w:sz w:val="28"/>
                <w:szCs w:val="28"/>
              </w:rPr>
              <w:t>：</w:t>
            </w:r>
            <w:r w:rsidRPr="00365912">
              <w:rPr>
                <w:rFonts w:eastAsia="標楷體" w:hint="eastAsia"/>
                <w:sz w:val="28"/>
                <w:szCs w:val="28"/>
              </w:rPr>
              <w:t>依據授課教師所提之觀察焦點，擇定</w:t>
            </w:r>
            <w:r w:rsidRPr="00365912">
              <w:rPr>
                <w:rFonts w:eastAsia="標楷體" w:hint="eastAsia"/>
                <w:sz w:val="28"/>
                <w:szCs w:val="28"/>
              </w:rPr>
              <w:t>105</w:t>
            </w:r>
            <w:r w:rsidRPr="00365912">
              <w:rPr>
                <w:rFonts w:eastAsia="標楷體" w:hint="eastAsia"/>
                <w:sz w:val="28"/>
                <w:szCs w:val="28"/>
              </w:rPr>
              <w:t>年版教師專業發展規準觀察紀錄表為此次之觀察工具。</w:t>
            </w:r>
          </w:p>
        </w:tc>
      </w:tr>
      <w:tr w:rsidR="00010B66" w:rsidRPr="00365912" w:rsidTr="002D29AB">
        <w:trPr>
          <w:trHeight w:val="1555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66" w:rsidRPr="00365912" w:rsidRDefault="00010B66" w:rsidP="002D29A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lastRenderedPageBreak/>
              <w:t>八</w:t>
            </w:r>
            <w:r w:rsidRPr="00365912">
              <w:rPr>
                <w:rFonts w:eastAsia="標楷體"/>
                <w:sz w:val="28"/>
                <w:szCs w:val="28"/>
              </w:rPr>
              <w:t>、回饋會談</w:t>
            </w:r>
            <w:r w:rsidRPr="00365912">
              <w:rPr>
                <w:rFonts w:eastAsia="標楷體" w:hint="eastAsia"/>
                <w:sz w:val="28"/>
                <w:szCs w:val="28"/>
              </w:rPr>
              <w:t>預定</w:t>
            </w:r>
            <w:r w:rsidRPr="00365912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010B66" w:rsidRPr="00365912" w:rsidRDefault="00010B66" w:rsidP="002D29AB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日期：</w:t>
            </w:r>
            <w:r w:rsidRPr="00365912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010B66" w:rsidRPr="00365912" w:rsidRDefault="00010B66" w:rsidP="002D29A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地點：</w:t>
            </w:r>
          </w:p>
        </w:tc>
      </w:tr>
    </w:tbl>
    <w:p w:rsidR="002A0768" w:rsidRDefault="002A0768">
      <w:bookmarkStart w:id="1" w:name="_GoBack"/>
      <w:bookmarkEnd w:id="1"/>
    </w:p>
    <w:sectPr w:rsidR="002A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5BD4"/>
    <w:multiLevelType w:val="hybridMultilevel"/>
    <w:tmpl w:val="0B9484B0"/>
    <w:lvl w:ilvl="0" w:tplc="5E8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66"/>
    <w:rsid w:val="00010B66"/>
    <w:rsid w:val="002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9ADE-79B0-4B49-8CAC-7979F4C2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B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B66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010B6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010B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2022-04-12T05:27:00Z</dcterms:created>
  <dcterms:modified xsi:type="dcterms:W3CDTF">2022-04-12T05:28:00Z</dcterms:modified>
</cp:coreProperties>
</file>