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73"/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</w:tblGrid>
      <w:tr w:rsidR="00576CA2" w14:paraId="1727D201" w14:textId="77777777" w:rsidTr="00576CA2">
        <w:tblPrEx>
          <w:tblCellMar>
            <w:top w:w="0" w:type="dxa"/>
            <w:bottom w:w="0" w:type="dxa"/>
          </w:tblCellMar>
        </w:tblPrEx>
        <w:trPr>
          <w:trHeight w:val="2401"/>
        </w:trPr>
        <w:tc>
          <w:tcPr>
            <w:tcW w:w="7905" w:type="dxa"/>
            <w:tcBorders>
              <w:top w:val="none" w:sz="6" w:space="0" w:color="auto"/>
              <w:bottom w:val="none" w:sz="6" w:space="0" w:color="auto"/>
            </w:tcBorders>
          </w:tcPr>
          <w:p w14:paraId="57E7DD59" w14:textId="77777777" w:rsidR="00576CA2" w:rsidRDefault="00576CA2" w:rsidP="00576CA2">
            <w:pPr>
              <w:pStyle w:val="Pa1"/>
              <w:jc w:val="both"/>
              <w:rPr>
                <w:rFonts w:cs="華康黑體"/>
                <w:color w:val="000000"/>
                <w:sz w:val="22"/>
                <w:szCs w:val="22"/>
              </w:rPr>
            </w:pPr>
            <w:r>
              <w:rPr>
                <w:rFonts w:cs="華康黑體" w:hint="eastAsia"/>
                <w:color w:val="000000"/>
                <w:sz w:val="22"/>
                <w:szCs w:val="22"/>
              </w:rPr>
              <w:t>第四課　差不多先生傳</w:t>
            </w:r>
          </w:p>
          <w:p w14:paraId="75237E6A" w14:textId="77777777" w:rsidR="00576CA2" w:rsidRDefault="00576CA2" w:rsidP="00576CA2">
            <w:pPr>
              <w:pStyle w:val="Pa1"/>
              <w:jc w:val="both"/>
              <w:rPr>
                <w:rFonts w:ascii="華康明體" w:eastAsia="華康明體" w:cs="華康明體"/>
                <w:color w:val="000000"/>
                <w:sz w:val="22"/>
                <w:szCs w:val="22"/>
              </w:rPr>
            </w:pPr>
            <w:r>
              <w:rPr>
                <w:rFonts w:ascii="華康明體" w:eastAsia="華康明體" w:cs="華康明體" w:hint="eastAsia"/>
                <w:color w:val="000000"/>
                <w:sz w:val="22"/>
                <w:szCs w:val="22"/>
              </w:rPr>
              <w:t>四、同聲異義</w:t>
            </w:r>
          </w:p>
          <w:p w14:paraId="6DB5959A" w14:textId="77777777" w:rsidR="00576CA2" w:rsidRDefault="00576CA2" w:rsidP="00576CA2">
            <w:pPr>
              <w:pStyle w:val="Pa1"/>
              <w:jc w:val="both"/>
              <w:rPr>
                <w:rFonts w:ascii="華康明體o浡渀." w:eastAsia="華康明體o浡渀." w:hAnsi="Times New Roman" w:cs="華康明體o浡渀."/>
                <w:color w:val="000000"/>
                <w:sz w:val="22"/>
                <w:szCs w:val="22"/>
              </w:rPr>
            </w:pPr>
            <w:r>
              <w:rPr>
                <w:rFonts w:ascii="Times New Roman" w:eastAsia="華康明體" w:hAnsi="Times New Roman" w:cs="Times New Roman"/>
                <w:color w:val="000000"/>
                <w:sz w:val="22"/>
                <w:szCs w:val="22"/>
              </w:rPr>
              <w:t xml:space="preserve">1. </w:t>
            </w:r>
            <w:r>
              <w:rPr>
                <w:rFonts w:ascii="華康明體o浡渀." w:eastAsia="華康明體o浡渀." w:hAnsi="Times New Roman" w:cs="華康明體o浡渀." w:hint="eastAsia"/>
                <w:color w:val="000000"/>
                <w:sz w:val="22"/>
                <w:szCs w:val="22"/>
              </w:rPr>
              <w:t>休養：休息調養。／修養：品德、風度。</w:t>
            </w:r>
          </w:p>
          <w:p w14:paraId="6A3920C4" w14:textId="77777777" w:rsidR="00576CA2" w:rsidRDefault="00576CA2" w:rsidP="00576CA2">
            <w:pPr>
              <w:pStyle w:val="Pa1"/>
              <w:jc w:val="both"/>
              <w:rPr>
                <w:rFonts w:ascii="華康明體o浡渀." w:eastAsia="華康明體o浡渀." w:hAnsi="Times New Roman" w:cs="華康明體o浡渀."/>
                <w:color w:val="000000"/>
                <w:sz w:val="22"/>
                <w:szCs w:val="22"/>
              </w:rPr>
            </w:pPr>
            <w:r>
              <w:rPr>
                <w:rFonts w:ascii="Times New Roman" w:eastAsia="華康明體o浡渀." w:hAnsi="Times New Roman" w:cs="Times New Roman"/>
                <w:color w:val="000000"/>
                <w:sz w:val="22"/>
                <w:szCs w:val="22"/>
              </w:rPr>
              <w:t xml:space="preserve">2. </w:t>
            </w:r>
            <w:r>
              <w:rPr>
                <w:rFonts w:ascii="華康明體o浡渀." w:eastAsia="華康明體o浡渀." w:hAnsi="Times New Roman" w:cs="華康明體o浡渀." w:hint="eastAsia"/>
                <w:color w:val="000000"/>
                <w:sz w:val="22"/>
                <w:szCs w:val="22"/>
              </w:rPr>
              <w:t>意義：行為、事物的價值或重要性。／異議：不同或反對的意見。</w:t>
            </w:r>
          </w:p>
          <w:p w14:paraId="2CAAE7BB" w14:textId="77777777" w:rsidR="00576CA2" w:rsidRDefault="00576CA2" w:rsidP="00576CA2">
            <w:pPr>
              <w:pStyle w:val="Pa1"/>
              <w:jc w:val="both"/>
              <w:rPr>
                <w:rFonts w:ascii="華康明體o浡渀." w:eastAsia="華康明體o浡渀." w:hAnsi="Times New Roman" w:cs="華康明體o浡渀."/>
                <w:color w:val="000000"/>
                <w:sz w:val="22"/>
                <w:szCs w:val="22"/>
              </w:rPr>
            </w:pPr>
            <w:r>
              <w:rPr>
                <w:rFonts w:ascii="Times New Roman" w:eastAsia="華康明體o浡渀." w:hAnsi="Times New Roman" w:cs="Times New Roman"/>
                <w:color w:val="000000"/>
                <w:sz w:val="22"/>
                <w:szCs w:val="22"/>
              </w:rPr>
              <w:t xml:space="preserve">3. </w:t>
            </w:r>
            <w:r>
              <w:rPr>
                <w:rFonts w:ascii="華康明體o浡渀." w:eastAsia="華康明體o浡渀." w:hAnsi="Times New Roman" w:cs="華康明體o浡渀." w:hint="eastAsia"/>
                <w:color w:val="000000"/>
                <w:sz w:val="22"/>
                <w:szCs w:val="22"/>
              </w:rPr>
              <w:t>徵召：徵求召集。／徵兆：事情發生前所顯現的跡象。</w:t>
            </w:r>
          </w:p>
          <w:p w14:paraId="3388B352" w14:textId="77777777" w:rsidR="00576CA2" w:rsidRDefault="00576CA2" w:rsidP="00576CA2">
            <w:pPr>
              <w:pStyle w:val="Pa1"/>
              <w:jc w:val="both"/>
              <w:rPr>
                <w:rFonts w:ascii="華康明體o浡渀." w:eastAsia="華康明體o浡渀." w:hAnsi="Times New Roman" w:cs="華康明體o浡渀."/>
                <w:color w:val="000000"/>
                <w:sz w:val="22"/>
                <w:szCs w:val="22"/>
              </w:rPr>
            </w:pPr>
            <w:r>
              <w:rPr>
                <w:rFonts w:ascii="Times New Roman" w:eastAsia="華康明體o浡渀." w:hAnsi="Times New Roman" w:cs="Times New Roman"/>
                <w:color w:val="000000"/>
                <w:sz w:val="22"/>
                <w:szCs w:val="22"/>
              </w:rPr>
              <w:t xml:space="preserve">4. </w:t>
            </w:r>
            <w:r>
              <w:rPr>
                <w:rFonts w:ascii="華康明體o浡渀." w:eastAsia="華康明體o浡渀." w:hAnsi="Times New Roman" w:cs="華康明體o浡渀." w:hint="eastAsia"/>
                <w:color w:val="000000"/>
                <w:sz w:val="22"/>
                <w:szCs w:val="22"/>
              </w:rPr>
              <w:t>切記：切實牢記。／切忌：非常忌諱、務求避免。</w:t>
            </w:r>
          </w:p>
          <w:p w14:paraId="1E542815" w14:textId="77777777" w:rsidR="00576CA2" w:rsidRDefault="00576CA2" w:rsidP="00576CA2">
            <w:pPr>
              <w:pStyle w:val="Pa1"/>
              <w:jc w:val="both"/>
              <w:rPr>
                <w:rFonts w:ascii="華康明體o浡渀." w:eastAsia="華康明體o浡渀." w:hAnsi="Times New Roman" w:cs="華康明體o浡渀."/>
                <w:color w:val="000000"/>
                <w:sz w:val="22"/>
                <w:szCs w:val="22"/>
              </w:rPr>
            </w:pPr>
            <w:r>
              <w:rPr>
                <w:rFonts w:ascii="Times New Roman" w:eastAsia="華康明體o浡渀." w:hAnsi="Times New Roman" w:cs="Times New Roman"/>
                <w:color w:val="000000"/>
                <w:sz w:val="22"/>
                <w:szCs w:val="22"/>
              </w:rPr>
              <w:t xml:space="preserve">5. </w:t>
            </w:r>
            <w:r>
              <w:rPr>
                <w:rFonts w:ascii="華康明體o浡渀." w:eastAsia="華康明體o浡渀." w:hAnsi="Times New Roman" w:cs="華康明體o浡渀." w:hint="eastAsia"/>
                <w:color w:val="000000"/>
                <w:sz w:val="22"/>
                <w:szCs w:val="22"/>
              </w:rPr>
              <w:t>不利：有壞處，沒有好處。／不力：不盡力、未用心力。</w:t>
            </w:r>
          </w:p>
          <w:p w14:paraId="1D92788F" w14:textId="77777777" w:rsidR="00576CA2" w:rsidRDefault="00576CA2" w:rsidP="00576CA2">
            <w:pPr>
              <w:pStyle w:val="Pa1"/>
              <w:jc w:val="both"/>
              <w:rPr>
                <w:rFonts w:ascii="華康明體o浡渀." w:eastAsia="華康明體o浡渀." w:hAnsi="Times New Roman" w:cs="華康明體o浡渀."/>
                <w:color w:val="000000"/>
                <w:sz w:val="22"/>
                <w:szCs w:val="22"/>
              </w:rPr>
            </w:pPr>
            <w:r>
              <w:rPr>
                <w:rFonts w:ascii="Times New Roman" w:eastAsia="華康明體o浡渀." w:hAnsi="Times New Roman" w:cs="Times New Roman"/>
                <w:color w:val="000000"/>
                <w:sz w:val="22"/>
                <w:szCs w:val="22"/>
              </w:rPr>
              <w:t xml:space="preserve">6. </w:t>
            </w:r>
            <w:r>
              <w:rPr>
                <w:rFonts w:ascii="華康明體o浡渀." w:eastAsia="華康明體o浡渀." w:hAnsi="Times New Roman" w:cs="華康明體o浡渀." w:hint="eastAsia"/>
                <w:color w:val="000000"/>
                <w:sz w:val="22"/>
                <w:szCs w:val="22"/>
              </w:rPr>
              <w:t>一斑：比喻事物的一小部分。／一般：普通、通常。</w:t>
            </w:r>
          </w:p>
        </w:tc>
      </w:tr>
    </w:tbl>
    <w:p w14:paraId="3938450B" w14:textId="77777777" w:rsidR="00330AA7" w:rsidRPr="00576CA2" w:rsidRDefault="00330AA7" w:rsidP="00576CA2">
      <w:pPr>
        <w:pStyle w:val="Default"/>
      </w:pPr>
    </w:p>
    <w:sectPr w:rsidR="00330AA7" w:rsidRPr="00576C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黑體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華康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明體o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A2"/>
    <w:rsid w:val="00330AA7"/>
    <w:rsid w:val="0057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CE7C7"/>
  <w15:chartTrackingRefBased/>
  <w15:docId w15:val="{36006BB7-AE7E-4219-B059-59748604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6CA2"/>
    <w:pPr>
      <w:widowControl w:val="0"/>
      <w:autoSpaceDE w:val="0"/>
      <w:autoSpaceDN w:val="0"/>
      <w:adjustRightInd w:val="0"/>
    </w:pPr>
    <w:rPr>
      <w:rFonts w:ascii="華康黑體" w:eastAsia="華康黑體" w:cs="華康黑體"/>
      <w:color w:val="000000"/>
      <w:kern w:val="0"/>
      <w:szCs w:val="24"/>
    </w:rPr>
  </w:style>
  <w:style w:type="paragraph" w:customStyle="1" w:styleId="Pa1">
    <w:name w:val="Pa1"/>
    <w:basedOn w:val="Default"/>
    <w:next w:val="Default"/>
    <w:uiPriority w:val="99"/>
    <w:rsid w:val="00576CA2"/>
    <w:pPr>
      <w:spacing w:line="227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弘鈞 王</dc:creator>
  <cp:keywords/>
  <dc:description/>
  <cp:lastModifiedBy>弘鈞 王</cp:lastModifiedBy>
  <cp:revision>1</cp:revision>
  <dcterms:created xsi:type="dcterms:W3CDTF">2023-06-30T02:18:00Z</dcterms:created>
  <dcterms:modified xsi:type="dcterms:W3CDTF">2023-06-30T02:18:00Z</dcterms:modified>
</cp:coreProperties>
</file>