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spacing w:after="0" w:line="240" w:lineRule="auto"/>
        <w:jc w:val="center"/>
        <w:rPr>
          <w:rFonts w:ascii="Times New Roman" w:eastAsia="標楷體" w:hAnsi="Times New Roman" w:cs="Arial Unicode MS"/>
          <w:kern w:val="0"/>
          <w:sz w:val="32"/>
          <w:szCs w:val="32"/>
        </w:rPr>
      </w:pPr>
      <w:r>
        <w:rPr>
          <w:rFonts w:ascii="標楷體" w:eastAsia="標楷體" w:hAnsi="標楷體" w:cs="Arial Unicode MS" w:hint="eastAsia"/>
          <w:kern w:val="0"/>
          <w:sz w:val="32"/>
          <w:szCs w:val="24"/>
        </w:rPr>
        <w:t>彰化縣田中國民小學111學年度</w:t>
      </w:r>
      <w:r>
        <w:rPr>
          <w:rFonts w:ascii="標楷體" w:eastAsia="標楷體" w:hAnsi="標楷體" w:cs="Arial Unicode MS" w:hint="eastAsia"/>
          <w:sz w:val="32"/>
          <w:lang w:val="en-US"/>
        </w:rPr>
        <w:t>特教</w:t>
      </w:r>
      <w:r>
        <w:rPr>
          <w:rFonts w:ascii="標楷體" w:eastAsia="標楷體" w:hAnsi="標楷體" w:cs="Arial Unicode MS" w:hint="eastAsia"/>
          <w:kern w:val="0"/>
          <w:sz w:val="32"/>
          <w:szCs w:val="32"/>
        </w:rPr>
        <w:t>觀課議課記錄</w:t>
      </w:r>
      <w:r>
        <w:rPr>
          <w:rFonts w:ascii="Times New Roman" w:eastAsia="標楷體" w:hAnsi="Times New Roman" w:cs="Arial Unicode MS" w:hint="eastAsia"/>
          <w:kern w:val="0"/>
          <w:sz w:val="32"/>
          <w:szCs w:val="32"/>
        </w:rPr>
        <w:t>表</w:t>
      </w:r>
    </w:p>
    <w:p>
      <w:pPr>
        <w:spacing w:after="0" w:line="240" w:lineRule="auto"/>
        <w:rPr>
          <w:rFonts w:ascii="標楷體" w:eastAsia="標楷體" w:hAnsi="標楷體" w:cs="Times New Roman"/>
          <w:b/>
          <w:kern w:val="0"/>
          <w:sz w:val="28"/>
          <w:szCs w:val="24"/>
        </w:rPr>
      </w:pPr>
    </w:p>
    <w:p>
      <w:pPr>
        <w:spacing w:after="0" w:line="240" w:lineRule="auto"/>
        <w:rPr>
          <w:rFonts w:ascii="Times New Roman" w:eastAsia="標楷體" w:hAnsi="Times New Roman" w:cs="Arial Unicode MS"/>
          <w:sz w:val="32"/>
          <w:lang w:val="en-US"/>
        </w:rPr>
      </w:pPr>
      <w:r>
        <w:rPr>
          <w:rFonts w:ascii="標楷體" w:eastAsia="標楷體" w:hAnsi="標楷體" w:cs="Times New Roman" w:hint="eastAsia"/>
          <w:b/>
          <w:kern w:val="0"/>
          <w:sz w:val="28"/>
          <w:szCs w:val="24"/>
        </w:rPr>
        <w:t>壹、基本資料</w:t>
      </w:r>
    </w:p>
    <w:tbl>
      <w:tblPr>
        <w:tblStyle w:val="TableGrid"/>
        <w:tblW w:w="967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" w:type="dxa"/>
          <w:left w:w="26" w:type="dxa"/>
        </w:tblCellMar>
        <w:tblLook w:val="04A0" w:firstRow="1" w:lastRow="0" w:firstColumn="1" w:lastColumn="0" w:noHBand="0" w:noVBand="1"/>
      </w:tblPr>
      <w:tblGrid>
        <w:gridCol w:w="2417"/>
        <w:gridCol w:w="2418"/>
        <w:gridCol w:w="2284"/>
        <w:gridCol w:w="2551"/>
      </w:tblGrid>
      <w:tr>
        <w:trPr>
          <w:trHeight w:val="962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標楷體" w:eastAsia="標楷體" w:hAnsi="標楷體" w:cs="Microsoft YaHei"/>
                <w:b/>
                <w:sz w:val="28"/>
                <w:szCs w:val="24"/>
              </w:rPr>
            </w:pPr>
            <w:r>
              <w:rPr>
                <w:rFonts w:ascii="標楷體" w:eastAsia="標楷體" w:hAnsi="標楷體" w:cs="Microsoft YaHei" w:hint="eastAsia"/>
                <w:b/>
                <w:sz w:val="28"/>
                <w:szCs w:val="24"/>
              </w:rPr>
              <w:t>授課、觀議課日期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標楷體" w:eastAsia="標楷體" w:hAnsi="標楷體" w:cs="Microsoft YaHei"/>
                <w:sz w:val="28"/>
                <w:szCs w:val="24"/>
              </w:rPr>
            </w:pPr>
            <w:r>
              <w:rPr>
                <w:rFonts w:ascii="標楷體" w:eastAsia="標楷體" w:hAnsi="標楷體" w:cs="Microsoft YaHei" w:hint="eastAsia"/>
                <w:sz w:val="28"/>
                <w:szCs w:val="24"/>
              </w:rPr>
              <w:t>1</w:t>
            </w:r>
            <w:r>
              <w:rPr>
                <w:rFonts w:ascii="標楷體" w:eastAsia="標楷體" w:hAnsi="標楷體" w:cs="Microsoft YaHei" w:hint="eastAsia"/>
                <w:color w:val="auto"/>
                <w:sz w:val="28"/>
                <w:szCs w:val="24"/>
              </w:rPr>
              <w:t>10年10月05日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標楷體" w:eastAsia="標楷體" w:hAnsi="標楷體" w:cs="Microsoft YaHei"/>
                <w:b/>
                <w:sz w:val="28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標楷體" w:eastAsia="標楷體" w:hAnsi="標楷體" w:cs="Microsoft YaHei"/>
                <w:b/>
                <w:sz w:val="28"/>
                <w:szCs w:val="24"/>
              </w:rPr>
            </w:pPr>
            <w:r>
              <w:rPr>
                <w:rFonts w:ascii="標楷體" w:eastAsia="標楷體" w:hAnsi="標楷體" w:cs="Microsoft YaHei" w:hint="eastAsia"/>
                <w:b/>
                <w:sz w:val="28"/>
                <w:szCs w:val="24"/>
              </w:rPr>
              <w:t>教學領域(科目)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標楷體" w:eastAsia="標楷體" w:hAnsi="標楷體" w:cs="Microsoft YaHei"/>
                <w:sz w:val="28"/>
                <w:szCs w:val="24"/>
              </w:rPr>
            </w:pPr>
            <w:r>
              <w:rPr>
                <w:rFonts w:ascii="標楷體" w:eastAsia="標楷體" w:hAnsi="標楷體" w:cs="Microsoft YaHei" w:hint="eastAsia"/>
                <w:sz w:val="28"/>
                <w:szCs w:val="24"/>
              </w:rPr>
              <w:t>數學</w:t>
            </w:r>
          </w:p>
        </w:tc>
      </w:tr>
      <w:tr>
        <w:trPr>
          <w:trHeight w:val="975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標楷體" w:eastAsia="標楷體" w:hAnsi="標楷體" w:cs="Microsoft YaHei"/>
                <w:b/>
                <w:sz w:val="28"/>
                <w:szCs w:val="24"/>
              </w:rPr>
            </w:pPr>
            <w:r>
              <w:rPr>
                <w:rFonts w:ascii="標楷體" w:eastAsia="標楷體" w:hAnsi="標楷體" w:cs="Microsoft YaHei" w:hint="eastAsia"/>
                <w:b/>
                <w:sz w:val="28"/>
                <w:szCs w:val="24"/>
              </w:rPr>
              <w:t>教學者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標楷體" w:eastAsia="標楷體" w:hAnsi="標楷體" w:cs="Microsoft YaHei"/>
                <w:sz w:val="28"/>
                <w:szCs w:val="24"/>
              </w:rPr>
            </w:pPr>
            <w:r>
              <w:rPr>
                <w:rFonts w:ascii="標楷體" w:eastAsia="標楷體" w:hAnsi="標楷體" w:cs="Microsoft YaHei" w:hint="eastAsia"/>
                <w:sz w:val="28"/>
                <w:szCs w:val="24"/>
              </w:rPr>
              <w:t>王昭國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cs="Microsoft YaHei" w:hint="eastAsia"/>
                <w:b/>
                <w:sz w:val="28"/>
                <w:szCs w:val="24"/>
              </w:rPr>
              <w:t>學習者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標楷體" w:eastAsia="標楷體" w:hAnsi="標楷體"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4"/>
              </w:rPr>
              <w:t>506學生</w:t>
            </w:r>
          </w:p>
        </w:tc>
      </w:tr>
      <w:tr>
        <w:trPr>
          <w:trHeight w:val="974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標楷體" w:eastAsia="標楷體" w:hAnsi="標楷體" w:cs="Microsoft YaHei"/>
                <w:b/>
                <w:sz w:val="28"/>
                <w:szCs w:val="28"/>
              </w:rPr>
            </w:pPr>
            <w:r>
              <w:rPr>
                <w:rFonts w:ascii="標楷體" w:eastAsia="標楷體" w:hAnsi="標楷體" w:cs="Microsoft YaHei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標楷體" w:eastAsia="標楷體" w:hAnsi="標楷體" w:cs="Microsoft YaHei"/>
                <w:sz w:val="28"/>
                <w:szCs w:val="28"/>
              </w:rPr>
            </w:pPr>
            <w:r>
              <w:rPr>
                <w:rFonts w:ascii="標楷體" w:eastAsia="標楷體" w:hAnsi="標楷體" w:cs="Microsoft YaHei" w:hint="eastAsia"/>
                <w:color w:val="auto"/>
                <w:sz w:val="28"/>
                <w:szCs w:val="28"/>
              </w:rPr>
              <w:t>506教室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標楷體" w:eastAsia="標楷體" w:hAnsi="標楷體" w:cs="Microsoft YaHei"/>
                <w:b/>
                <w:sz w:val="28"/>
                <w:szCs w:val="28"/>
              </w:rPr>
            </w:pPr>
            <w:r>
              <w:rPr>
                <w:rFonts w:ascii="標楷體" w:eastAsia="標楷體" w:hAnsi="標楷體" w:cs="Microsoft YaHei" w:hint="eastAsia"/>
                <w:b/>
                <w:sz w:val="28"/>
                <w:szCs w:val="28"/>
              </w:rPr>
              <w:t>學習時間/節數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標楷體" w:eastAsia="標楷體" w:hAnsi="標楷體" w:cs="Microsoft YaHei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cs="Microsoft YaHei" w:hint="eastAsia"/>
                <w:color w:val="auto"/>
                <w:sz w:val="28"/>
                <w:szCs w:val="28"/>
              </w:rPr>
              <w:t>共20週，本次教學為第1節</w:t>
            </w:r>
          </w:p>
        </w:tc>
      </w:tr>
      <w:tr>
        <w:trPr>
          <w:trHeight w:val="691"/>
        </w:trPr>
        <w:tc>
          <w:tcPr>
            <w:tcW w:w="9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Microsoft YaHei" w:hint="eastAsia"/>
                <w:b/>
                <w:sz w:val="28"/>
                <w:szCs w:val="28"/>
              </w:rPr>
              <w:t>觀、議課教師</w:t>
            </w:r>
            <w:r>
              <w:rPr>
                <w:rFonts w:ascii="標楷體" w:eastAsia="標楷體" w:hAnsi="標楷體" w:cs="Microsoft YaHei" w:hint="eastAsia"/>
                <w:sz w:val="28"/>
                <w:szCs w:val="28"/>
              </w:rPr>
              <w:t>：邱瑞堂</w:t>
            </w:r>
            <w:r>
              <w:rPr>
                <w:rFonts w:ascii="標楷體" w:eastAsia="標楷體" w:hAnsi="標楷體" w:cs="Microsoft YaHei" w:hint="eastAsia"/>
                <w:color w:val="auto"/>
                <w:sz w:val="28"/>
                <w:szCs w:val="28"/>
              </w:rPr>
              <w:t>、黃郁宜</w:t>
            </w:r>
          </w:p>
        </w:tc>
      </w:tr>
    </w:tbl>
    <w:p>
      <w:pPr>
        <w:spacing w:after="0" w:line="240" w:lineRule="auto"/>
        <w:rPr>
          <w:rFonts w:ascii="Times New Roman" w:eastAsia="標楷體" w:hAnsi="Times New Roman"/>
          <w:b/>
          <w:kern w:val="0"/>
          <w:sz w:val="28"/>
          <w:szCs w:val="24"/>
        </w:rPr>
      </w:pPr>
    </w:p>
    <w:p>
      <w:pPr>
        <w:spacing w:after="0" w:line="240" w:lineRule="auto"/>
        <w:rPr>
          <w:rFonts w:ascii="Times New Roman" w:eastAsia="標楷體" w:hAnsi="Times New Roman"/>
          <w:b/>
          <w:kern w:val="0"/>
          <w:sz w:val="28"/>
          <w:szCs w:val="24"/>
        </w:rPr>
      </w:pPr>
    </w:p>
    <w:p>
      <w:pPr>
        <w:spacing w:after="0" w:line="240" w:lineRule="auto"/>
      </w:pPr>
      <w:r>
        <w:rPr>
          <w:rFonts w:ascii="Times New Roman" w:eastAsia="標楷體" w:hAnsi="Times New Roman" w:hint="eastAsia"/>
          <w:b/>
          <w:kern w:val="0"/>
          <w:sz w:val="28"/>
          <w:szCs w:val="24"/>
        </w:rPr>
        <w:t>貳、觀課紀錄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5"/>
        <w:gridCol w:w="2551"/>
        <w:gridCol w:w="992"/>
        <w:gridCol w:w="992"/>
        <w:gridCol w:w="992"/>
        <w:gridCol w:w="992"/>
        <w:gridCol w:w="993"/>
      </w:tblGrid>
      <w:tr>
        <w:trPr>
          <w:cantSplit/>
          <w:trHeight w:val="62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b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 w:val="24"/>
                <w:szCs w:val="24"/>
              </w:rPr>
              <w:t>層面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b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 w:val="24"/>
                <w:szCs w:val="24"/>
              </w:rPr>
              <w:t>觀課項目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b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 w:val="24"/>
                <w:szCs w:val="24"/>
              </w:rPr>
              <w:t>非常</w:t>
            </w:r>
            <w:r>
              <w:rPr>
                <w:rFonts w:ascii="Times New Roman" w:eastAsia="標楷體" w:hAnsi="Times New Roman"/>
                <w:b/>
                <w:sz w:val="24"/>
                <w:szCs w:val="24"/>
              </w:rPr>
              <w:br/>
            </w:r>
            <w:r>
              <w:rPr>
                <w:rFonts w:ascii="Times New Roman" w:eastAsia="標楷體" w:hAnsi="Times New Roman" w:hint="eastAsia"/>
                <w:b/>
                <w:sz w:val="24"/>
                <w:szCs w:val="24"/>
              </w:rPr>
              <w:t>優良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b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 w:val="24"/>
                <w:szCs w:val="24"/>
              </w:rPr>
              <w:t>優良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b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 w:val="24"/>
                <w:szCs w:val="24"/>
              </w:rPr>
              <w:t>滿意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b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 w:val="24"/>
                <w:szCs w:val="24"/>
              </w:rPr>
              <w:t>尚可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b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 w:val="24"/>
                <w:szCs w:val="24"/>
              </w:rPr>
              <w:t>待成長</w:t>
            </w:r>
          </w:p>
        </w:tc>
      </w:tr>
      <w:tr>
        <w:trPr>
          <w:cantSplit/>
          <w:trHeight w:val="624"/>
        </w:trPr>
        <w:tc>
          <w:tcPr>
            <w:tcW w:w="2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標楷體" w:hAnsi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sz w:val="24"/>
                <w:szCs w:val="24"/>
              </w:rPr>
              <w:t>一、教室學習環境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標楷體" w:hAnsi="Times New Roman"/>
                <w:sz w:val="24"/>
                <w:szCs w:val="24"/>
              </w:rPr>
            </w:pPr>
            <w:r>
              <w:rPr>
                <w:rFonts w:ascii="Times New Roman" w:eastAsia="標楷體" w:hAnsi="Times New Roman"/>
                <w:sz w:val="24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z w:val="24"/>
                <w:szCs w:val="24"/>
              </w:rPr>
              <w:t>一</w:t>
            </w:r>
            <w:r>
              <w:rPr>
                <w:rFonts w:ascii="Times New Roman" w:eastAsia="標楷體" w:hAnsi="Times New Roman"/>
                <w:sz w:val="24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sz w:val="24"/>
                <w:szCs w:val="24"/>
              </w:rPr>
              <w:t>學生座位編排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標楷體" w:hAnsi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sz w:val="24"/>
                <w:szCs w:val="24"/>
              </w:rPr>
              <w:t>□傳統座位</w:t>
            </w:r>
            <w:r>
              <w:rPr>
                <w:rFonts w:ascii="Times New Roman" w:eastAsia="標楷體" w:hAnsi="Times New Roman"/>
                <w:sz w:val="24"/>
                <w:szCs w:val="24"/>
              </w:rPr>
              <w:t xml:space="preserve">        </w:t>
            </w:r>
            <w:r>
              <w:rPr>
                <w:rFonts w:ascii="細明體" w:eastAsia="細明體" w:hAnsi="細明體" w:cs="細明體"/>
                <w:sz w:val="24"/>
                <w:szCs w:val="24"/>
              </w:rPr>
              <w:sym w:font="Wingdings 2" w:char="F052"/>
            </w:r>
            <w:r>
              <w:rPr>
                <w:rFonts w:ascii="Times New Roman" w:eastAsia="標楷體" w:hAnsi="Times New Roman" w:hint="eastAsia"/>
                <w:sz w:val="24"/>
                <w:szCs w:val="24"/>
              </w:rPr>
              <w:t>小組學習</w:t>
            </w:r>
          </w:p>
        </w:tc>
      </w:tr>
      <w:tr>
        <w:trPr>
          <w:cantSplit/>
          <w:trHeight w:val="6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標楷體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標楷體" w:hAnsi="Times New Roman"/>
                <w:sz w:val="24"/>
                <w:szCs w:val="24"/>
              </w:rPr>
            </w:pPr>
            <w:r>
              <w:rPr>
                <w:rFonts w:ascii="Times New Roman" w:eastAsia="標楷體" w:hAnsi="Times New Roman"/>
                <w:sz w:val="24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z w:val="24"/>
                <w:szCs w:val="24"/>
              </w:rPr>
              <w:t>二</w:t>
            </w:r>
            <w:r>
              <w:rPr>
                <w:rFonts w:ascii="Times New Roman" w:eastAsia="標楷體" w:hAnsi="Times New Roman"/>
                <w:sz w:val="24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sz w:val="24"/>
                <w:szCs w:val="24"/>
              </w:rPr>
              <w:t>教學環境佈置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ind w:firstLineChars="150" w:firstLine="480"/>
              <w:rPr>
                <w:rFonts w:ascii="Times New Roman" w:eastAsia="標楷體" w:hAnsi="Times New Roman"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sz w:val="32"/>
                <w:szCs w:val="32"/>
              </w:rPr>
              <w:sym w:font="Wingdings 2" w:char="F050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>
        <w:trPr>
          <w:cantSplit/>
          <w:trHeight w:val="6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標楷體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標楷體" w:hAnsi="Times New Roman"/>
                <w:sz w:val="24"/>
                <w:szCs w:val="24"/>
              </w:rPr>
            </w:pPr>
            <w:r>
              <w:rPr>
                <w:rFonts w:ascii="Times New Roman" w:eastAsia="標楷體" w:hAnsi="Times New Roman"/>
                <w:sz w:val="24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z w:val="24"/>
                <w:szCs w:val="24"/>
              </w:rPr>
              <w:t>三</w:t>
            </w:r>
            <w:r>
              <w:rPr>
                <w:rFonts w:ascii="Times New Roman" w:eastAsia="標楷體" w:hAnsi="Times New Roman"/>
                <w:sz w:val="24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sz w:val="24"/>
                <w:szCs w:val="24"/>
              </w:rPr>
              <w:t>課堂學習常規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ind w:firstLineChars="150" w:firstLine="480"/>
              <w:rPr>
                <w:rFonts w:ascii="Times New Roman" w:eastAsia="標楷體" w:hAnsi="Times New Roman"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sz w:val="32"/>
                <w:szCs w:val="32"/>
              </w:rPr>
              <w:sym w:font="Wingdings 2" w:char="F050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>
        <w:trPr>
          <w:cantSplit/>
          <w:trHeight w:val="624"/>
        </w:trPr>
        <w:tc>
          <w:tcPr>
            <w:tcW w:w="2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標楷體" w:hAnsi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sz w:val="24"/>
                <w:szCs w:val="24"/>
              </w:rPr>
              <w:t>二、教師教學情形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標楷體" w:hAnsi="Times New Roman"/>
                <w:sz w:val="24"/>
                <w:szCs w:val="24"/>
              </w:rPr>
            </w:pPr>
            <w:r>
              <w:rPr>
                <w:rFonts w:ascii="Times New Roman" w:eastAsia="標楷體" w:hAnsi="Times New Roman"/>
                <w:sz w:val="24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z w:val="24"/>
                <w:szCs w:val="24"/>
              </w:rPr>
              <w:t>一</w:t>
            </w:r>
            <w:r>
              <w:rPr>
                <w:rFonts w:ascii="Times New Roman" w:eastAsia="標楷體" w:hAnsi="Times New Roman"/>
                <w:sz w:val="24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sz w:val="24"/>
                <w:szCs w:val="24"/>
              </w:rPr>
              <w:t>掌握教學內容進度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sz w:val="32"/>
                <w:szCs w:val="32"/>
              </w:rPr>
              <w:sym w:font="Wingdings 2" w:char="F050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>
        <w:trPr>
          <w:cantSplit/>
          <w:trHeight w:val="6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標楷體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標楷體" w:hAnsi="Times New Roman"/>
                <w:sz w:val="24"/>
                <w:szCs w:val="24"/>
              </w:rPr>
            </w:pPr>
            <w:r>
              <w:rPr>
                <w:rFonts w:ascii="Times New Roman" w:eastAsia="標楷體" w:hAnsi="Times New Roman"/>
                <w:sz w:val="24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z w:val="24"/>
                <w:szCs w:val="24"/>
              </w:rPr>
              <w:t>二</w:t>
            </w:r>
            <w:r>
              <w:rPr>
                <w:rFonts w:ascii="Times New Roman" w:eastAsia="標楷體" w:hAnsi="Times New Roman"/>
                <w:sz w:val="24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sz w:val="24"/>
                <w:szCs w:val="24"/>
              </w:rPr>
              <w:t>適時提取學習問題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sz w:val="32"/>
                <w:szCs w:val="32"/>
              </w:rPr>
              <w:sym w:font="Wingdings 2" w:char="F050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>
        <w:trPr>
          <w:cantSplit/>
          <w:trHeight w:val="6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標楷體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標楷體" w:hAnsi="Times New Roman"/>
                <w:sz w:val="24"/>
                <w:szCs w:val="24"/>
              </w:rPr>
            </w:pPr>
            <w:r>
              <w:rPr>
                <w:rFonts w:ascii="Times New Roman" w:eastAsia="標楷體" w:hAnsi="Times New Roman"/>
                <w:sz w:val="24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z w:val="24"/>
                <w:szCs w:val="24"/>
              </w:rPr>
              <w:t>三</w:t>
            </w:r>
            <w:r>
              <w:rPr>
                <w:rFonts w:ascii="Times New Roman" w:eastAsia="標楷體" w:hAnsi="Times New Roman"/>
                <w:sz w:val="24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sz w:val="24"/>
                <w:szCs w:val="24"/>
              </w:rPr>
              <w:t>給予學生思考時間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sz w:val="32"/>
                <w:szCs w:val="32"/>
              </w:rPr>
              <w:sym w:font="Wingdings 2" w:char="F050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>
        <w:trPr>
          <w:cantSplit/>
          <w:trHeight w:val="6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標楷體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標楷體" w:hAnsi="Times New Roman"/>
                <w:sz w:val="24"/>
                <w:szCs w:val="24"/>
              </w:rPr>
            </w:pPr>
            <w:r>
              <w:rPr>
                <w:rFonts w:ascii="Times New Roman" w:eastAsia="標楷體" w:hAnsi="Times New Roman"/>
                <w:sz w:val="24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z w:val="24"/>
                <w:szCs w:val="24"/>
              </w:rPr>
              <w:t>四</w:t>
            </w:r>
            <w:r>
              <w:rPr>
                <w:rFonts w:ascii="Times New Roman" w:eastAsia="標楷體" w:hAnsi="Times New Roman"/>
                <w:sz w:val="24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sz w:val="24"/>
                <w:szCs w:val="24"/>
              </w:rPr>
              <w:t>耐心聆聽學生回答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sz w:val="32"/>
                <w:szCs w:val="32"/>
              </w:rPr>
              <w:sym w:font="Wingdings 2" w:char="F050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>
        <w:trPr>
          <w:cantSplit/>
          <w:trHeight w:val="6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標楷體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標楷體" w:hAnsi="Times New Roman"/>
                <w:sz w:val="24"/>
                <w:szCs w:val="24"/>
              </w:rPr>
            </w:pPr>
            <w:r>
              <w:rPr>
                <w:rFonts w:ascii="Times New Roman" w:eastAsia="標楷體" w:hAnsi="Times New Roman"/>
                <w:sz w:val="24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z w:val="24"/>
                <w:szCs w:val="24"/>
              </w:rPr>
              <w:t>五</w:t>
            </w:r>
            <w:r>
              <w:rPr>
                <w:rFonts w:ascii="Times New Roman" w:eastAsia="標楷體" w:hAnsi="Times New Roman"/>
                <w:sz w:val="24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sz w:val="24"/>
                <w:szCs w:val="24"/>
              </w:rPr>
              <w:t>提供不同教學媒材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sz w:val="32"/>
                <w:szCs w:val="32"/>
              </w:rPr>
              <w:sym w:font="Wingdings 2" w:char="F050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>
        <w:trPr>
          <w:cantSplit/>
          <w:trHeight w:val="624"/>
        </w:trPr>
        <w:tc>
          <w:tcPr>
            <w:tcW w:w="2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標楷體" w:hAnsi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sz w:val="24"/>
                <w:szCs w:val="24"/>
              </w:rPr>
              <w:t>三、學生學習情形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標楷體" w:hAnsi="Times New Roman"/>
                <w:sz w:val="24"/>
                <w:szCs w:val="24"/>
              </w:rPr>
            </w:pPr>
            <w:r>
              <w:rPr>
                <w:rFonts w:ascii="Times New Roman" w:eastAsia="標楷體" w:hAnsi="Times New Roman"/>
                <w:sz w:val="24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z w:val="24"/>
                <w:szCs w:val="24"/>
              </w:rPr>
              <w:t>一</w:t>
            </w:r>
            <w:r>
              <w:rPr>
                <w:rFonts w:ascii="Times New Roman" w:eastAsia="標楷體" w:hAnsi="Times New Roman"/>
                <w:sz w:val="24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sz w:val="24"/>
                <w:szCs w:val="24"/>
              </w:rPr>
              <w:t>專注於課堂上學習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sz w:val="32"/>
                <w:szCs w:val="32"/>
              </w:rPr>
              <w:sym w:font="Wingdings 2" w:char="F050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ind w:firstLineChars="150" w:firstLine="480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>
        <w:trPr>
          <w:cantSplit/>
          <w:trHeight w:val="6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標楷體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標楷體" w:hAnsi="Times New Roman"/>
                <w:sz w:val="24"/>
                <w:szCs w:val="24"/>
              </w:rPr>
            </w:pPr>
            <w:r>
              <w:rPr>
                <w:rFonts w:ascii="Times New Roman" w:eastAsia="標楷體" w:hAnsi="Times New Roman"/>
                <w:sz w:val="24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z w:val="24"/>
                <w:szCs w:val="24"/>
              </w:rPr>
              <w:t>二</w:t>
            </w:r>
            <w:r>
              <w:rPr>
                <w:rFonts w:ascii="Times New Roman" w:eastAsia="標楷體" w:hAnsi="Times New Roman"/>
                <w:sz w:val="24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sz w:val="24"/>
                <w:szCs w:val="24"/>
              </w:rPr>
              <w:t>對話切合學習主題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sz w:val="32"/>
                <w:szCs w:val="32"/>
              </w:rPr>
              <w:sym w:font="Wingdings 2" w:char="F050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ind w:firstLineChars="150" w:firstLine="480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>
        <w:trPr>
          <w:cantSplit/>
          <w:trHeight w:val="6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標楷體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標楷體" w:hAnsi="Times New Roman"/>
                <w:sz w:val="24"/>
                <w:szCs w:val="24"/>
              </w:rPr>
            </w:pPr>
            <w:r>
              <w:rPr>
                <w:rFonts w:ascii="Times New Roman" w:eastAsia="標楷體" w:hAnsi="Times New Roman"/>
                <w:sz w:val="24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z w:val="24"/>
                <w:szCs w:val="24"/>
              </w:rPr>
              <w:t>三</w:t>
            </w:r>
            <w:r>
              <w:rPr>
                <w:rFonts w:ascii="Times New Roman" w:eastAsia="標楷體" w:hAnsi="Times New Roman"/>
                <w:sz w:val="24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sz w:val="24"/>
                <w:szCs w:val="24"/>
              </w:rPr>
              <w:t>踴躍回答所提問題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sz w:val="32"/>
                <w:szCs w:val="32"/>
              </w:rPr>
              <w:sym w:font="Wingdings 2" w:char="F050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ind w:firstLineChars="150" w:firstLine="480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>
        <w:trPr>
          <w:cantSplit/>
          <w:trHeight w:val="6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標楷體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標楷體" w:hAnsi="Times New Roman"/>
                <w:sz w:val="24"/>
                <w:szCs w:val="24"/>
              </w:rPr>
            </w:pPr>
            <w:r>
              <w:rPr>
                <w:rFonts w:ascii="Times New Roman" w:eastAsia="標楷體" w:hAnsi="Times New Roman"/>
                <w:sz w:val="24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z w:val="24"/>
                <w:szCs w:val="24"/>
              </w:rPr>
              <w:t>四</w:t>
            </w:r>
            <w:r>
              <w:rPr>
                <w:rFonts w:ascii="Times New Roman" w:eastAsia="標楷體" w:hAnsi="Times New Roman"/>
                <w:sz w:val="24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sz w:val="24"/>
                <w:szCs w:val="24"/>
              </w:rPr>
              <w:t>相互鼓勵合作協助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ind w:firstLineChars="150" w:firstLine="480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sz w:val="32"/>
                <w:szCs w:val="32"/>
              </w:rPr>
              <w:sym w:font="Wingdings 2" w:char="F050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>
        <w:trPr>
          <w:cantSplit/>
          <w:trHeight w:val="6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標楷體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標楷體" w:hAnsi="Times New Roman"/>
                <w:sz w:val="24"/>
                <w:szCs w:val="24"/>
              </w:rPr>
            </w:pPr>
            <w:r>
              <w:rPr>
                <w:rFonts w:ascii="Times New Roman" w:eastAsia="標楷體" w:hAnsi="Times New Roman"/>
                <w:sz w:val="24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z w:val="24"/>
                <w:szCs w:val="24"/>
              </w:rPr>
              <w:t>五</w:t>
            </w:r>
            <w:r>
              <w:rPr>
                <w:rFonts w:ascii="Times New Roman" w:eastAsia="標楷體" w:hAnsi="Times New Roman"/>
                <w:sz w:val="24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sz w:val="24"/>
                <w:szCs w:val="24"/>
              </w:rPr>
              <w:t>主動分享積極發表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ind w:firstLineChars="150" w:firstLine="480"/>
              <w:rPr>
                <w:rFonts w:ascii="Times New Roman" w:eastAsia="標楷體" w:hAnsi="Times New Roman"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sz w:val="32"/>
                <w:szCs w:val="32"/>
              </w:rPr>
              <w:sym w:font="Wingdings 2" w:char="F050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</w:tbl>
    <w:p>
      <w:pPr>
        <w:snapToGrid w:val="0"/>
        <w:spacing w:after="0" w:line="360" w:lineRule="auto"/>
        <w:rPr>
          <w:rFonts w:eastAsiaTheme="minorEastAsia"/>
        </w:rPr>
      </w:pPr>
    </w:p>
    <w:p>
      <w:pPr>
        <w:snapToGrid w:val="0"/>
        <w:spacing w:after="0" w:line="360" w:lineRule="auto"/>
        <w:rPr>
          <w:rFonts w:eastAsiaTheme="minorEastAsia"/>
          <w:sz w:val="20"/>
        </w:rPr>
      </w:pPr>
      <w:r>
        <w:rPr>
          <w:rFonts w:ascii="標楷體" w:eastAsia="標楷體" w:hAnsi="標楷體" w:cs="Microsoft YaHei" w:hint="eastAsia"/>
          <w:b/>
          <w:sz w:val="28"/>
          <w:szCs w:val="24"/>
        </w:rPr>
        <w:t>參、議課討論與回饋摘要表</w:t>
      </w:r>
    </w:p>
    <w:tbl>
      <w:tblPr>
        <w:tblStyle w:val="ab"/>
        <w:tblW w:w="9781" w:type="dxa"/>
        <w:tblInd w:w="108" w:type="dxa"/>
        <w:tblLook w:val="04A0" w:firstRow="1" w:lastRow="0" w:firstColumn="1" w:lastColumn="0" w:noHBand="0" w:noVBand="1"/>
      </w:tblPr>
      <w:tblGrid>
        <w:gridCol w:w="1985"/>
        <w:gridCol w:w="7796"/>
      </w:tblGrid>
      <w:tr>
        <w:trPr>
          <w:trHeight w:val="2420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cs="Microsoft YaHei" w:hint="eastAsia"/>
                <w:sz w:val="28"/>
                <w:szCs w:val="24"/>
              </w:rPr>
              <w:t>壹、課程設計與教學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標楷體" w:eastAsia="標楷體" w:hAnsi="標楷體" w:cs="Microsoft YaHei"/>
                <w:sz w:val="28"/>
                <w:szCs w:val="24"/>
              </w:rPr>
            </w:pPr>
            <w:r>
              <w:rPr>
                <w:rFonts w:ascii="標楷體" w:eastAsia="標楷體" w:hAnsi="標楷體" w:cs="Microsoft YaHei" w:hint="eastAsia"/>
                <w:sz w:val="28"/>
                <w:szCs w:val="24"/>
              </w:rPr>
              <w:t>一、運用有效教學方法與學習策略，協助學習：</w:t>
            </w:r>
          </w:p>
          <w:p>
            <w:pPr>
              <w:spacing w:after="0" w:line="240" w:lineRule="auto"/>
              <w:ind w:left="316" w:hangingChars="113" w:hanging="316"/>
              <w:rPr>
                <w:rFonts w:ascii="標楷體" w:eastAsia="標楷體" w:hAnsi="標楷體" w:cs="Microsoft YaHei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□</w:t>
            </w:r>
            <w:r>
              <w:rPr>
                <w:rFonts w:ascii="標楷體" w:eastAsia="標楷體" w:hAnsi="標楷體" w:cs="Microsoft YaHei" w:hint="eastAsia"/>
                <w:sz w:val="28"/>
                <w:szCs w:val="24"/>
              </w:rPr>
              <w:t>能透過教學活動，觸發並維持學生學習動機。</w:t>
            </w:r>
          </w:p>
          <w:p>
            <w:pPr>
              <w:spacing w:after="0" w:line="240" w:lineRule="auto"/>
              <w:ind w:left="316" w:hangingChars="113" w:hanging="316"/>
              <w:rPr>
                <w:rFonts w:ascii="標楷體" w:eastAsia="標楷體" w:hAnsi="標楷體" w:cs="Microsoft YaHei"/>
                <w:sz w:val="28"/>
                <w:szCs w:val="24"/>
              </w:rPr>
            </w:pPr>
            <w:r>
              <w:rPr>
                <w:rFonts w:ascii="標楷體" w:eastAsia="標楷體" w:hAnsi="標楷體"/>
                <w:sz w:val="28"/>
                <w:szCs w:val="24"/>
              </w:rPr>
              <w:sym w:font="Wingdings 2" w:char="F052"/>
            </w:r>
            <w:r>
              <w:rPr>
                <w:rFonts w:ascii="標楷體" w:eastAsia="標楷體" w:hAnsi="標楷體" w:cs="Microsoft YaHei" w:hint="eastAsia"/>
                <w:sz w:val="28"/>
                <w:szCs w:val="24"/>
              </w:rPr>
              <w:t>能透過適性的教材教具讓學生習得重要概念、原則或技能。</w:t>
            </w:r>
          </w:p>
          <w:p>
            <w:pPr>
              <w:spacing w:after="0" w:line="240" w:lineRule="auto"/>
              <w:ind w:left="316" w:hangingChars="113" w:hanging="316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/>
                <w:kern w:val="0"/>
                <w:sz w:val="28"/>
                <w:szCs w:val="24"/>
              </w:rPr>
              <w:sym w:font="Wingdings 2" w:char="F052"/>
            </w:r>
            <w:r>
              <w:rPr>
                <w:rFonts w:ascii="標楷體" w:eastAsia="標楷體" w:hAnsi="標楷體" w:cs="Microsoft YaHei" w:hint="eastAsia"/>
                <w:sz w:val="28"/>
                <w:szCs w:val="24"/>
              </w:rPr>
              <w:t>透過適切的教學策略，讓學生進行思考、討論或實作練習。</w:t>
            </w:r>
          </w:p>
          <w:p>
            <w:pPr>
              <w:spacing w:after="0" w:line="240" w:lineRule="auto"/>
              <w:ind w:left="316" w:hangingChars="113" w:hanging="316"/>
              <w:rPr>
                <w:rFonts w:ascii="標楷體" w:eastAsia="標楷體" w:hAnsi="標楷體" w:cs="Microsoft YaHei"/>
                <w:sz w:val="28"/>
                <w:szCs w:val="24"/>
              </w:rPr>
            </w:pPr>
            <w:r>
              <w:rPr>
                <w:rFonts w:ascii="標楷體" w:eastAsia="標楷體" w:hAnsi="標楷體"/>
                <w:kern w:val="0"/>
                <w:sz w:val="28"/>
                <w:szCs w:val="24"/>
              </w:rPr>
              <w:sym w:font="Wingdings 2" w:char="F052"/>
            </w:r>
            <w:r>
              <w:rPr>
                <w:rFonts w:ascii="標楷體" w:eastAsia="標楷體" w:hAnsi="標楷體" w:cs="Microsoft YaHei" w:hint="eastAsia"/>
                <w:sz w:val="28"/>
                <w:szCs w:val="24"/>
              </w:rPr>
              <w:t>能讓學生在教學活動中習得學習策略。</w:t>
            </w:r>
          </w:p>
          <w:p>
            <w:pPr>
              <w:spacing w:after="0" w:line="240" w:lineRule="auto"/>
              <w:ind w:left="316" w:hangingChars="113" w:hanging="316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/>
                <w:sz w:val="28"/>
                <w:szCs w:val="24"/>
              </w:rPr>
              <w:sym w:font="Wingdings 2" w:char="F052"/>
            </w:r>
            <w:r>
              <w:rPr>
                <w:rFonts w:ascii="標楷體" w:eastAsia="標楷體" w:hAnsi="標楷體" w:cs="Microsoft YaHei" w:hint="eastAsia"/>
                <w:sz w:val="28"/>
                <w:szCs w:val="24"/>
              </w:rPr>
              <w:t>能運用不同教學技巧，幫助學生學習。</w:t>
            </w:r>
          </w:p>
        </w:tc>
      </w:tr>
      <w:tr>
        <w:trPr>
          <w:trHeight w:val="1643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標楷體" w:eastAsia="標楷體" w:hAnsi="標楷體" w:cs="Microsoft YaHei"/>
                <w:sz w:val="28"/>
                <w:szCs w:val="24"/>
              </w:rPr>
            </w:pPr>
            <w:r>
              <w:rPr>
                <w:rFonts w:ascii="標楷體" w:eastAsia="標楷體" w:hAnsi="標楷體" w:cs="Microsoft YaHei" w:hint="eastAsia"/>
                <w:sz w:val="28"/>
                <w:szCs w:val="24"/>
              </w:rPr>
              <w:t>二、運用學習評量評估學習成效：</w:t>
            </w:r>
          </w:p>
          <w:p>
            <w:pPr>
              <w:spacing w:after="0" w:line="240" w:lineRule="auto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/>
                <w:kern w:val="0"/>
                <w:sz w:val="28"/>
                <w:szCs w:val="24"/>
              </w:rPr>
              <w:sym w:font="Wingdings 2" w:char="F052"/>
            </w:r>
            <w:r>
              <w:rPr>
                <w:rFonts w:ascii="標楷體" w:eastAsia="標楷體" w:hAnsi="標楷體" w:cs="Microsoft YaHei" w:hint="eastAsia"/>
                <w:kern w:val="0"/>
                <w:sz w:val="28"/>
                <w:szCs w:val="24"/>
              </w:rPr>
              <w:t>學生學習情形能適時獲得檢視與回饋。</w:t>
            </w:r>
            <w:r>
              <w:rPr>
                <w:rFonts w:ascii="標楷體" w:eastAsia="標楷體" w:hAnsi="標楷體" w:cs="Times New Roman" w:hint="eastAsia"/>
                <w:sz w:val="28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/>
                <w:kern w:val="0"/>
                <w:sz w:val="28"/>
                <w:szCs w:val="24"/>
              </w:rPr>
              <w:sym w:font="Wingdings 2" w:char="F052"/>
            </w:r>
            <w:r>
              <w:rPr>
                <w:rFonts w:ascii="標楷體" w:eastAsia="標楷體" w:hAnsi="標楷體" w:cs="Microsoft YaHei" w:hint="eastAsia"/>
                <w:kern w:val="0"/>
                <w:sz w:val="28"/>
                <w:szCs w:val="24"/>
              </w:rPr>
              <w:t>學生學習成效能以多元評量方式評估。</w:t>
            </w:r>
            <w:r>
              <w:rPr>
                <w:rFonts w:ascii="標楷體" w:eastAsia="標楷體" w:hAnsi="標楷體" w:cs="Times New Roman" w:hint="eastAsia"/>
                <w:sz w:val="28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ascii="標楷體" w:eastAsia="標楷體" w:hAnsi="標楷體" w:cs="Microsoft YaHei"/>
                <w:sz w:val="28"/>
                <w:szCs w:val="24"/>
              </w:rPr>
            </w:pPr>
            <w:r>
              <w:rPr>
                <w:rFonts w:ascii="標楷體" w:eastAsia="標楷體" w:hAnsi="標楷體"/>
                <w:kern w:val="0"/>
                <w:sz w:val="28"/>
                <w:szCs w:val="24"/>
              </w:rPr>
              <w:sym w:font="Wingdings 2" w:char="F052"/>
            </w:r>
            <w:r>
              <w:rPr>
                <w:rFonts w:ascii="標楷體" w:eastAsia="標楷體" w:hAnsi="標楷體" w:cs="Microsoft YaHei" w:hint="eastAsia"/>
                <w:sz w:val="28"/>
                <w:szCs w:val="24"/>
              </w:rPr>
              <w:t>能依</w:t>
            </w:r>
            <w:r>
              <w:rPr>
                <w:rFonts w:ascii="標楷體" w:eastAsia="標楷體" w:hAnsi="標楷體" w:cs="Microsoft YaHei" w:hint="eastAsia"/>
                <w:kern w:val="0"/>
                <w:sz w:val="28"/>
                <w:szCs w:val="24"/>
              </w:rPr>
              <w:t>學生學習情形適時進行教學調整。</w:t>
            </w:r>
          </w:p>
        </w:tc>
      </w:tr>
      <w:tr>
        <w:trPr>
          <w:trHeight w:val="1600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標楷體" w:eastAsia="標楷體" w:hAnsi="標楷體" w:cs="Microsoft YaHei"/>
                <w:sz w:val="28"/>
                <w:szCs w:val="24"/>
              </w:rPr>
            </w:pPr>
            <w:r>
              <w:rPr>
                <w:rFonts w:ascii="標楷體" w:eastAsia="標楷體" w:hAnsi="標楷體" w:cs="Microsoft YaHei" w:hint="eastAsia"/>
                <w:sz w:val="28"/>
                <w:szCs w:val="24"/>
              </w:rPr>
              <w:t>貳、班級經營與輔導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標楷體" w:eastAsia="標楷體" w:hAnsi="標楷體" w:cs="Microsoft YaHei"/>
                <w:sz w:val="28"/>
                <w:szCs w:val="24"/>
              </w:rPr>
            </w:pPr>
            <w:r>
              <w:rPr>
                <w:rFonts w:ascii="標楷體" w:eastAsia="標楷體" w:hAnsi="標楷體" w:cs="Microsoft YaHei" w:hint="eastAsia"/>
                <w:sz w:val="28"/>
                <w:szCs w:val="24"/>
              </w:rPr>
              <w:t>一、建立學生自我管理與監控系統，並增強正向行為表現：</w:t>
            </w:r>
          </w:p>
          <w:p>
            <w:pPr>
              <w:spacing w:after="0" w:line="240" w:lineRule="auto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□</w:t>
            </w:r>
            <w:r>
              <w:rPr>
                <w:rFonts w:ascii="標楷體" w:eastAsia="標楷體" w:hAnsi="標楷體" w:cs="Microsoft YaHei" w:hint="eastAsia"/>
                <w:sz w:val="28"/>
                <w:szCs w:val="24"/>
              </w:rPr>
              <w:t>能透過增強系統進行有效學習。</w:t>
            </w:r>
            <w:r>
              <w:rPr>
                <w:rFonts w:ascii="標楷體" w:eastAsia="標楷體" w:hAnsi="標楷體" w:cs="Times New Roman" w:hint="eastAsia"/>
                <w:sz w:val="28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□</w:t>
            </w:r>
            <w:r>
              <w:rPr>
                <w:rFonts w:ascii="標楷體" w:eastAsia="標楷體" w:hAnsi="標楷體" w:cs="Microsoft YaHei" w:hint="eastAsia"/>
                <w:kern w:val="0"/>
                <w:sz w:val="28"/>
                <w:szCs w:val="24"/>
              </w:rPr>
              <w:t>學生問題行為能獲得有效處理並減少發生。</w:t>
            </w:r>
            <w:r>
              <w:rPr>
                <w:rFonts w:ascii="標楷體" w:eastAsia="標楷體" w:hAnsi="標楷體" w:cs="Times New Roman" w:hint="eastAsia"/>
                <w:sz w:val="28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ascii="標楷體" w:eastAsia="標楷體" w:hAnsi="標楷體" w:cs="Microsoft YaHei"/>
                <w:sz w:val="28"/>
                <w:szCs w:val="24"/>
              </w:rPr>
            </w:pPr>
            <w:r>
              <w:rPr>
                <w:rFonts w:ascii="標楷體" w:eastAsia="標楷體" w:hAnsi="標楷體"/>
                <w:kern w:val="0"/>
                <w:sz w:val="28"/>
                <w:szCs w:val="24"/>
              </w:rPr>
              <w:sym w:font="Wingdings 2" w:char="F052"/>
            </w:r>
            <w:r>
              <w:rPr>
                <w:rFonts w:ascii="標楷體" w:eastAsia="標楷體" w:hAnsi="標楷體" w:cs="Microsoft YaHei" w:hint="eastAsia"/>
                <w:sz w:val="28"/>
                <w:szCs w:val="24"/>
              </w:rPr>
              <w:t>能有效建立正向行為</w:t>
            </w:r>
          </w:p>
        </w:tc>
      </w:tr>
      <w:tr>
        <w:trPr>
          <w:trHeight w:val="1254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標楷體" w:eastAsia="標楷體" w:hAnsi="標楷體" w:cs="Microsoft YaHei"/>
                <w:sz w:val="28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標楷體" w:eastAsia="標楷體" w:hAnsi="標楷體" w:cs="Microsoft YaHei"/>
                <w:sz w:val="28"/>
                <w:szCs w:val="24"/>
              </w:rPr>
            </w:pPr>
            <w:r>
              <w:rPr>
                <w:rFonts w:ascii="標楷體" w:eastAsia="標楷體" w:hAnsi="標楷體" w:cs="Microsoft YaHei" w:hint="eastAsia"/>
                <w:sz w:val="28"/>
                <w:szCs w:val="24"/>
              </w:rPr>
              <w:t>二、能安排促進社會性互動的教學環境：</w:t>
            </w:r>
          </w:p>
          <w:p>
            <w:pPr>
              <w:spacing w:after="0" w:line="240" w:lineRule="auto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/>
                <w:kern w:val="0"/>
                <w:sz w:val="28"/>
                <w:szCs w:val="24"/>
              </w:rPr>
              <w:sym w:font="Wingdings 2" w:char="F052"/>
            </w:r>
            <w:r>
              <w:rPr>
                <w:rFonts w:ascii="標楷體" w:eastAsia="標楷體" w:hAnsi="標楷體" w:cs="Microsoft YaHei" w:hint="eastAsia"/>
                <w:sz w:val="28"/>
                <w:szCs w:val="24"/>
              </w:rPr>
              <w:t>透過教學環境與設施的安排，有助於師生及同儕間互動。</w:t>
            </w:r>
          </w:p>
          <w:p>
            <w:pPr>
              <w:spacing w:after="0" w:line="240" w:lineRule="auto"/>
              <w:rPr>
                <w:rFonts w:ascii="標楷體" w:eastAsia="標楷體" w:hAnsi="標楷體" w:cs="Microsoft YaHei"/>
                <w:sz w:val="28"/>
                <w:szCs w:val="24"/>
              </w:rPr>
            </w:pPr>
            <w:r>
              <w:rPr>
                <w:rFonts w:ascii="標楷體" w:eastAsia="標楷體" w:hAnsi="標楷體"/>
                <w:kern w:val="0"/>
                <w:sz w:val="28"/>
                <w:szCs w:val="24"/>
              </w:rPr>
              <w:sym w:font="Wingdings 2" w:char="F052"/>
            </w:r>
            <w:r>
              <w:rPr>
                <w:rFonts w:ascii="標楷體" w:eastAsia="標楷體" w:hAnsi="標楷體" w:cs="Microsoft YaHei" w:hint="eastAsia"/>
                <w:sz w:val="28"/>
                <w:szCs w:val="24"/>
              </w:rPr>
              <w:t>能習得正向的社交技巧</w:t>
            </w:r>
          </w:p>
        </w:tc>
      </w:tr>
      <w:tr>
        <w:trPr>
          <w:trHeight w:val="339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標楷體" w:eastAsia="標楷體" w:hAnsi="標楷體" w:cs="Microsoft YaHei"/>
                <w:sz w:val="28"/>
                <w:szCs w:val="24"/>
              </w:rPr>
            </w:pPr>
            <w:r>
              <w:rPr>
                <w:rFonts w:ascii="標楷體" w:eastAsia="標楷體" w:hAnsi="標楷體" w:cs="Microsoft YaHei" w:hint="eastAsia"/>
                <w:sz w:val="28"/>
                <w:szCs w:val="24"/>
              </w:rPr>
              <w:t>參、其他回饋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ind w:left="336" w:hangingChars="120" w:hanging="336"/>
              <w:rPr>
                <w:rFonts w:ascii="標楷體" w:eastAsia="標楷體" w:hAnsi="標楷體" w:cs="Microsoft YaHei"/>
                <w:sz w:val="28"/>
                <w:szCs w:val="24"/>
              </w:rPr>
            </w:pPr>
            <w:r>
              <w:rPr>
                <w:rFonts w:ascii="標楷體" w:eastAsia="標楷體" w:hAnsi="標楷體"/>
                <w:kern w:val="0"/>
                <w:sz w:val="28"/>
                <w:szCs w:val="24"/>
              </w:rPr>
              <w:sym w:font="Wingdings 2" w:char="F052"/>
            </w:r>
            <w:r>
              <w:rPr>
                <w:rFonts w:ascii="標楷體" w:eastAsia="標楷體" w:hAnsi="標楷體" w:cs="Microsoft YaHei" w:hint="eastAsia"/>
                <w:sz w:val="28"/>
                <w:szCs w:val="24"/>
              </w:rPr>
              <w:t>以圖像或符號，輔助文字閱讀理解的功能，引導學生形成概念，讓文字描述更具體。</w:t>
            </w:r>
          </w:p>
          <w:p>
            <w:pPr>
              <w:spacing w:after="0" w:line="240" w:lineRule="auto"/>
              <w:ind w:left="336" w:hangingChars="120" w:hanging="336"/>
              <w:rPr>
                <w:rFonts w:ascii="標楷體" w:eastAsia="標楷體" w:hAnsi="標楷體" w:cs="Microsoft YaHei"/>
                <w:sz w:val="28"/>
                <w:szCs w:val="24"/>
                <w:lang w:val="en-US"/>
              </w:rPr>
            </w:pPr>
            <w:r>
              <w:rPr>
                <w:rFonts w:ascii="標楷體" w:eastAsia="標楷體" w:hAnsi="標楷體"/>
                <w:kern w:val="0"/>
                <w:sz w:val="28"/>
                <w:szCs w:val="24"/>
              </w:rPr>
              <w:sym w:font="Wingdings 2" w:char="F052"/>
            </w:r>
            <w:r>
              <w:rPr>
                <w:rFonts w:ascii="標楷體" w:eastAsia="標楷體" w:hAnsi="標楷體" w:cs="Microsoft YaHei" w:hint="eastAsia"/>
                <w:sz w:val="28"/>
                <w:szCs w:val="24"/>
                <w:lang w:val="en-US"/>
              </w:rPr>
              <w:t>經由教材內容與學生生活經驗、感受的連結討論，加強學生的記憶，增加學生對策略的熟悉度。</w:t>
            </w:r>
          </w:p>
          <w:p>
            <w:pPr>
              <w:spacing w:after="0" w:line="240" w:lineRule="auto"/>
              <w:ind w:left="336" w:hangingChars="120" w:hanging="336"/>
              <w:rPr>
                <w:rFonts w:ascii="標楷體" w:eastAsia="標楷體" w:hAnsi="標楷體" w:cs="Microsoft YaHei"/>
                <w:sz w:val="28"/>
                <w:szCs w:val="24"/>
                <w:lang w:val="en-US"/>
              </w:rPr>
            </w:pPr>
            <w:r>
              <w:rPr>
                <w:rFonts w:ascii="Times New Roman" w:eastAsia="標楷體" w:hAnsi="Times New Roman" w:hint="eastAsia"/>
                <w:kern w:val="0"/>
                <w:sz w:val="28"/>
                <w:szCs w:val="24"/>
              </w:rPr>
              <w:t>□</w:t>
            </w:r>
            <w:r>
              <w:rPr>
                <w:rFonts w:ascii="標楷體" w:eastAsia="標楷體" w:hAnsi="標楷體" w:cs="Microsoft YaHei" w:hint="eastAsia"/>
                <w:sz w:val="28"/>
                <w:szCs w:val="24"/>
              </w:rPr>
              <w:t>能透過架構圖表</w:t>
            </w:r>
            <w:r>
              <w:rPr>
                <w:rFonts w:ascii="標楷體" w:eastAsia="標楷體" w:hAnsi="標楷體" w:cs="Microsoft YaHei" w:hint="eastAsia"/>
                <w:sz w:val="28"/>
                <w:szCs w:val="24"/>
                <w:lang w:val="en-US"/>
              </w:rPr>
              <w:t>練習，理解與統整文本篇章的架構，習得學習策略與運用技巧。</w:t>
            </w:r>
          </w:p>
          <w:p>
            <w:pPr>
              <w:spacing w:after="0" w:line="240" w:lineRule="auto"/>
              <w:ind w:left="336" w:hangingChars="120" w:hanging="336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sz w:val="28"/>
                <w:szCs w:val="24"/>
              </w:rPr>
              <w:t>□能使用資訊科技融入教學，引導學生產出想法與作品。</w:t>
            </w:r>
          </w:p>
          <w:p>
            <w:pPr>
              <w:spacing w:after="0" w:line="240" w:lineRule="auto"/>
              <w:ind w:left="336" w:hangingChars="120" w:hanging="336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 w:val="28"/>
                <w:szCs w:val="24"/>
              </w:rPr>
              <w:t>□</w:t>
            </w:r>
            <w:r>
              <w:rPr>
                <w:rFonts w:ascii="Times New Roman" w:eastAsia="標楷體" w:hAnsi="Times New Roman" w:hint="eastAsia"/>
                <w:sz w:val="28"/>
                <w:szCs w:val="24"/>
              </w:rPr>
              <w:t>其他：能使用資訊科技融入教學</w:t>
            </w:r>
            <w:r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，</w:t>
            </w:r>
            <w:r>
              <w:rPr>
                <w:rFonts w:ascii="標楷體" w:eastAsia="標楷體" w:hAnsi="標楷體" w:cs="Microsoft YaHei" w:hint="eastAsia"/>
                <w:sz w:val="28"/>
                <w:szCs w:val="24"/>
              </w:rPr>
              <w:t>輔助與提升學生理解成效，並維持學生較高較主動的學習動機。</w:t>
            </w:r>
          </w:p>
        </w:tc>
      </w:tr>
    </w:tbl>
    <w:p>
      <w:pPr>
        <w:spacing w:after="0" w:line="240" w:lineRule="auto"/>
        <w:rPr>
          <w:rFonts w:ascii="標楷體" w:eastAsia="標楷體" w:hAnsi="標楷體" w:cs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5144660" cy="385762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892" cy="386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標楷體" w:eastAsia="標楷體" w:hAnsi="標楷體" w:cs="Times New Roman"/>
          <w:sz w:val="24"/>
        </w:rPr>
      </w:pPr>
    </w:p>
    <w:p>
      <w:pPr>
        <w:spacing w:after="0" w:line="240" w:lineRule="auto"/>
        <w:rPr>
          <w:rFonts w:ascii="標楷體" w:eastAsia="標楷體" w:hAnsi="標楷體" w:cs="Times New Roman"/>
          <w:sz w:val="24"/>
        </w:rPr>
      </w:pPr>
      <w:r>
        <w:rPr>
          <w:noProof/>
        </w:rPr>
        <w:drawing>
          <wp:inline distT="0" distB="0" distL="0" distR="0">
            <wp:extent cx="5162550" cy="387104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711" cy="387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標楷體" w:eastAsia="標楷體" w:hAnsi="標楷體" w:cs="Times New Roman"/>
          <w:sz w:val="24"/>
        </w:rPr>
      </w:pPr>
    </w:p>
    <w:p>
      <w:pPr>
        <w:spacing w:after="0" w:line="240" w:lineRule="auto"/>
        <w:rPr>
          <w:rFonts w:ascii="標楷體" w:eastAsia="標楷體" w:hAnsi="標楷體" w:cs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4962525" cy="372105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107" cy="372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標楷體" w:eastAsia="標楷體" w:hAnsi="標楷體" w:cs="Times New Roman"/>
          <w:sz w:val="24"/>
        </w:rPr>
      </w:pPr>
    </w:p>
    <w:p>
      <w:pPr>
        <w:spacing w:after="0" w:line="240" w:lineRule="auto"/>
        <w:rPr>
          <w:rFonts w:ascii="標楷體" w:eastAsia="標楷體" w:hAnsi="標楷體" w:cs="Times New Roman"/>
          <w:sz w:val="24"/>
        </w:rPr>
      </w:pPr>
    </w:p>
    <w:p>
      <w:pPr>
        <w:widowControl w:val="0"/>
        <w:spacing w:after="0" w:line="680" w:lineRule="exact"/>
        <w:jc w:val="center"/>
        <w:rPr>
          <w:rFonts w:ascii="標楷體" w:eastAsia="標楷體" w:hAnsi="標楷體" w:cs="Times New Roman" w:hint="eastAsia"/>
          <w:bCs/>
          <w:color w:val="auto"/>
          <w:kern w:val="0"/>
          <w:sz w:val="40"/>
          <w:szCs w:val="40"/>
          <w:lang w:val="en-US" w:bidi="ar-SA"/>
        </w:rPr>
      </w:pPr>
      <w:r>
        <w:rPr>
          <w:rFonts w:ascii="標楷體" w:eastAsia="標楷體" w:hAnsi="標楷體" w:hint="eastAsia"/>
          <w:b/>
          <w:color w:val="auto"/>
          <w:sz w:val="40"/>
          <w:szCs w:val="40"/>
          <w:lang w:val="en-US" w:bidi="ar-SA"/>
        </w:rPr>
        <w:t>數學領域五上第</w:t>
      </w:r>
      <w:r>
        <w:rPr>
          <w:rFonts w:ascii="標楷體" w:eastAsia="標楷體" w:hAnsi="標楷體"/>
          <w:b/>
          <w:color w:val="auto"/>
          <w:sz w:val="40"/>
          <w:szCs w:val="40"/>
          <w:lang w:val="en-US" w:bidi="ar-SA"/>
        </w:rPr>
        <w:t>2</w:t>
      </w:r>
      <w:r>
        <w:rPr>
          <w:rFonts w:ascii="標楷體" w:eastAsia="標楷體" w:hAnsi="標楷體" w:hint="eastAsia"/>
          <w:b/>
          <w:color w:val="auto"/>
          <w:sz w:val="40"/>
          <w:szCs w:val="40"/>
          <w:lang w:val="en-US" w:bidi="ar-SA"/>
        </w:rPr>
        <w:t>單元（</w:t>
      </w:r>
      <w:r>
        <w:rPr>
          <w:rFonts w:ascii="標楷體" w:eastAsia="標楷體" w:hAnsi="標楷體"/>
          <w:b/>
          <w:color w:val="auto"/>
          <w:sz w:val="40"/>
          <w:szCs w:val="40"/>
          <w:lang w:val="en-US" w:bidi="ar-SA"/>
        </w:rPr>
        <w:t>2</w:t>
      </w:r>
      <w:r>
        <w:rPr>
          <w:rFonts w:ascii="標楷體" w:eastAsia="標楷體" w:hAnsi="標楷體" w:hint="eastAsia"/>
          <w:b/>
          <w:color w:val="auto"/>
          <w:sz w:val="40"/>
          <w:szCs w:val="40"/>
          <w:lang w:val="en-US" w:bidi="ar-SA"/>
        </w:rPr>
        <w:t>-</w:t>
      </w:r>
      <w:r>
        <w:rPr>
          <w:rFonts w:ascii="標楷體" w:eastAsia="標楷體" w:hAnsi="標楷體"/>
          <w:b/>
          <w:color w:val="auto"/>
          <w:sz w:val="40"/>
          <w:szCs w:val="40"/>
          <w:lang w:val="en-US" w:bidi="ar-SA"/>
        </w:rPr>
        <w:t>5</w:t>
      </w:r>
      <w:r>
        <w:rPr>
          <w:rFonts w:ascii="標楷體" w:eastAsia="標楷體" w:hAnsi="標楷體" w:hint="eastAsia"/>
          <w:b/>
          <w:color w:val="auto"/>
          <w:sz w:val="40"/>
          <w:szCs w:val="40"/>
          <w:lang w:val="en-US" w:bidi="ar-SA"/>
        </w:rPr>
        <w:t>）教案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04"/>
        <w:gridCol w:w="575"/>
        <w:gridCol w:w="250"/>
        <w:gridCol w:w="412"/>
        <w:gridCol w:w="4296"/>
        <w:gridCol w:w="565"/>
        <w:gridCol w:w="247"/>
        <w:gridCol w:w="221"/>
        <w:gridCol w:w="308"/>
        <w:gridCol w:w="220"/>
        <w:gridCol w:w="2212"/>
      </w:tblGrid>
      <w:tr>
        <w:trPr>
          <w:trHeight w:val="454"/>
          <w:jc w:val="center"/>
        </w:trPr>
        <w:tc>
          <w:tcPr>
            <w:tcW w:w="1795" w:type="dxa"/>
            <w:gridSpan w:val="4"/>
            <w:shd w:val="clear" w:color="auto" w:fill="D9D9D9"/>
            <w:vAlign w:val="center"/>
          </w:tcPr>
          <w:p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標楷體" w:eastAsia="標楷體" w:hAnsi="標楷體" w:cs="Times New Roman"/>
                <w:b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/>
                <w:b/>
                <w:color w:val="auto"/>
                <w:kern w:val="0"/>
                <w:sz w:val="24"/>
                <w:szCs w:val="24"/>
                <w:lang w:val="en-US" w:bidi="ar-SA"/>
              </w:rPr>
              <w:t>領域/科目</w:t>
            </w:r>
          </w:p>
        </w:tc>
        <w:tc>
          <w:tcPr>
            <w:tcW w:w="4750" w:type="dxa"/>
            <w:shd w:val="clear" w:color="auto" w:fill="auto"/>
            <w:vAlign w:val="center"/>
          </w:tcPr>
          <w:p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標楷體" w:eastAsia="標楷體" w:hAnsi="標楷體" w:cs="Times New Roman"/>
                <w:bCs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bCs/>
                <w:color w:val="auto"/>
                <w:kern w:val="0"/>
                <w:sz w:val="24"/>
                <w:szCs w:val="24"/>
                <w:lang w:val="en-US" w:bidi="ar-SA"/>
              </w:rPr>
              <w:t>數學</w:t>
            </w:r>
          </w:p>
        </w:tc>
        <w:tc>
          <w:tcPr>
            <w:tcW w:w="1394" w:type="dxa"/>
            <w:gridSpan w:val="4"/>
            <w:shd w:val="clear" w:color="auto" w:fill="D9D9D9"/>
            <w:vAlign w:val="center"/>
          </w:tcPr>
          <w:p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標楷體" w:eastAsia="標楷體" w:hAnsi="標楷體" w:cs="Times New Roman"/>
                <w:b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/>
                <w:b/>
                <w:color w:val="auto"/>
                <w:kern w:val="0"/>
                <w:sz w:val="24"/>
                <w:szCs w:val="24"/>
                <w:lang w:val="en-US" w:bidi="ar-SA"/>
              </w:rPr>
              <w:t>設計者</w:t>
            </w:r>
          </w:p>
        </w:tc>
        <w:tc>
          <w:tcPr>
            <w:tcW w:w="2699" w:type="dxa"/>
            <w:gridSpan w:val="2"/>
            <w:shd w:val="clear" w:color="auto" w:fill="auto"/>
            <w:vAlign w:val="center"/>
          </w:tcPr>
          <w:p>
            <w:pPr>
              <w:widowControl w:val="0"/>
              <w:suppressAutoHyphens/>
              <w:autoSpaceDN w:val="0"/>
              <w:spacing w:after="0" w:line="240" w:lineRule="auto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</w:tc>
      </w:tr>
      <w:tr>
        <w:trPr>
          <w:trHeight w:val="454"/>
          <w:jc w:val="center"/>
        </w:trPr>
        <w:tc>
          <w:tcPr>
            <w:tcW w:w="1795" w:type="dxa"/>
            <w:gridSpan w:val="4"/>
            <w:shd w:val="clear" w:color="auto" w:fill="D9D9D9"/>
            <w:vAlign w:val="center"/>
          </w:tcPr>
          <w:p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標楷體" w:eastAsia="標楷體" w:hAnsi="標楷體" w:cs="Times New Roman"/>
                <w:b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/>
                <w:b/>
                <w:color w:val="auto"/>
                <w:kern w:val="0"/>
                <w:sz w:val="24"/>
                <w:szCs w:val="24"/>
                <w:lang w:val="en-US" w:bidi="ar-SA"/>
              </w:rPr>
              <w:t>實施年級</w:t>
            </w:r>
          </w:p>
        </w:tc>
        <w:tc>
          <w:tcPr>
            <w:tcW w:w="4750" w:type="dxa"/>
            <w:shd w:val="clear" w:color="auto" w:fill="auto"/>
            <w:vAlign w:val="center"/>
          </w:tcPr>
          <w:p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標楷體" w:eastAsia="標楷體" w:hAnsi="標楷體" w:cs="Times New Roman"/>
                <w:bCs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bCs/>
                <w:color w:val="auto"/>
                <w:kern w:val="0"/>
                <w:sz w:val="24"/>
                <w:szCs w:val="24"/>
                <w:lang w:val="en-US" w:bidi="ar-SA"/>
              </w:rPr>
              <w:t>五</w:t>
            </w:r>
            <w:r>
              <w:rPr>
                <w:rFonts w:ascii="標楷體" w:eastAsia="標楷體" w:hAnsi="標楷體" w:cs="Times New Roman"/>
                <w:bCs/>
                <w:color w:val="auto"/>
                <w:kern w:val="0"/>
                <w:sz w:val="24"/>
                <w:szCs w:val="24"/>
                <w:lang w:val="en-US" w:bidi="ar-SA"/>
              </w:rPr>
              <w:t>上</w:t>
            </w:r>
          </w:p>
        </w:tc>
        <w:tc>
          <w:tcPr>
            <w:tcW w:w="1394" w:type="dxa"/>
            <w:gridSpan w:val="4"/>
            <w:shd w:val="clear" w:color="auto" w:fill="D9D9D9"/>
            <w:vAlign w:val="center"/>
          </w:tcPr>
          <w:p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標楷體" w:eastAsia="標楷體" w:hAnsi="標楷體" w:cs="Times New Roman"/>
                <w:b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/>
                <w:b/>
                <w:color w:val="auto"/>
                <w:kern w:val="0"/>
                <w:sz w:val="24"/>
                <w:szCs w:val="24"/>
                <w:lang w:val="en-US" w:bidi="ar-SA"/>
              </w:rPr>
              <w:t>教學時間</w:t>
            </w:r>
          </w:p>
        </w:tc>
        <w:tc>
          <w:tcPr>
            <w:tcW w:w="2699" w:type="dxa"/>
            <w:gridSpan w:val="2"/>
            <w:shd w:val="clear" w:color="auto" w:fill="auto"/>
            <w:vAlign w:val="center"/>
          </w:tcPr>
          <w:p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bCs/>
                <w:color w:val="auto"/>
                <w:kern w:val="0"/>
                <w:sz w:val="24"/>
                <w:szCs w:val="24"/>
                <w:lang w:val="en-US" w:bidi="ar-SA"/>
              </w:rPr>
              <w:t>4</w:t>
            </w:r>
            <w:r>
              <w:rPr>
                <w:rFonts w:ascii="標楷體" w:eastAsia="標楷體" w:hAnsi="標楷體" w:cs="Times New Roman"/>
                <w:bCs/>
                <w:color w:val="auto"/>
                <w:kern w:val="0"/>
                <w:sz w:val="24"/>
                <w:szCs w:val="24"/>
                <w:lang w:val="en-US" w:bidi="ar-SA"/>
              </w:rPr>
              <w:t>0分鐘</w:t>
            </w:r>
          </w:p>
        </w:tc>
      </w:tr>
      <w:tr>
        <w:trPr>
          <w:trHeight w:val="454"/>
          <w:jc w:val="center"/>
        </w:trPr>
        <w:tc>
          <w:tcPr>
            <w:tcW w:w="1795" w:type="dxa"/>
            <w:gridSpan w:val="4"/>
            <w:shd w:val="clear" w:color="auto" w:fill="D9D9D9"/>
            <w:vAlign w:val="center"/>
          </w:tcPr>
          <w:p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標楷體" w:eastAsia="標楷體" w:hAnsi="標楷體" w:cs="Times New Roman"/>
                <w:b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/>
                <w:b/>
                <w:color w:val="auto"/>
                <w:kern w:val="0"/>
                <w:sz w:val="24"/>
                <w:szCs w:val="24"/>
                <w:lang w:val="en-US" w:bidi="ar-SA"/>
              </w:rPr>
              <w:t>活動名稱</w:t>
            </w:r>
          </w:p>
        </w:tc>
        <w:tc>
          <w:tcPr>
            <w:tcW w:w="8843" w:type="dxa"/>
            <w:gridSpan w:val="7"/>
            <w:shd w:val="clear" w:color="auto" w:fill="auto"/>
            <w:vAlign w:val="center"/>
          </w:tcPr>
          <w:p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標楷體" w:eastAsia="標楷體" w:hAnsi="標楷體" w:cs="Times New Roman" w:hint="eastAsia"/>
                <w:bCs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新細明體" w:eastAsia="標楷體" w:hAnsi="新細明體" w:cs="Times New Roman" w:hint="eastAsia"/>
                <w:color w:val="auto"/>
                <w:kern w:val="0"/>
                <w:sz w:val="24"/>
                <w:szCs w:val="21"/>
                <w:lang w:val="en-US" w:bidi="ar-SA"/>
              </w:rPr>
              <w:t>公倍數和最小公倍數的意義、找法及應用</w:t>
            </w:r>
          </w:p>
        </w:tc>
      </w:tr>
      <w:tr>
        <w:trPr>
          <w:trHeight w:val="381"/>
          <w:jc w:val="center"/>
        </w:trPr>
        <w:tc>
          <w:tcPr>
            <w:tcW w:w="10638" w:type="dxa"/>
            <w:gridSpan w:val="11"/>
            <w:shd w:val="clear" w:color="auto" w:fill="D9D9D9"/>
            <w:vAlign w:val="center"/>
          </w:tcPr>
          <w:p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標楷體" w:eastAsia="標楷體" w:hAnsi="標楷體" w:cs="Times New Roman"/>
                <w:b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/>
                <w:b/>
                <w:color w:val="auto"/>
                <w:kern w:val="0"/>
                <w:sz w:val="24"/>
                <w:szCs w:val="24"/>
                <w:lang w:val="en-US" w:bidi="ar-SA"/>
              </w:rPr>
              <w:t>設計依據</w:t>
            </w:r>
          </w:p>
        </w:tc>
      </w:tr>
      <w:tr>
        <w:trPr>
          <w:trHeight w:val="3621"/>
          <w:jc w:val="center"/>
        </w:trPr>
        <w:tc>
          <w:tcPr>
            <w:tcW w:w="504" w:type="dxa"/>
            <w:vMerge w:val="restart"/>
            <w:shd w:val="clear" w:color="auto" w:fill="D9D9D9"/>
            <w:vAlign w:val="center"/>
          </w:tcPr>
          <w:p>
            <w:pPr>
              <w:widowControl w:val="0"/>
              <w:suppressAutoHyphens/>
              <w:autoSpaceDN w:val="0"/>
              <w:spacing w:after="0" w:line="280" w:lineRule="exact"/>
              <w:jc w:val="center"/>
              <w:textAlignment w:val="baseline"/>
              <w:rPr>
                <w:rFonts w:ascii="標楷體" w:eastAsia="標楷體" w:hAnsi="標楷體" w:cs="Times New Roman"/>
                <w:b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/>
                <w:b/>
                <w:color w:val="auto"/>
                <w:kern w:val="0"/>
                <w:sz w:val="24"/>
                <w:szCs w:val="24"/>
                <w:lang w:val="en-US" w:bidi="ar-SA"/>
              </w:rPr>
              <w:t>學習重點</w:t>
            </w:r>
          </w:p>
        </w:tc>
        <w:tc>
          <w:tcPr>
            <w:tcW w:w="575" w:type="dxa"/>
            <w:shd w:val="clear" w:color="auto" w:fill="F2F2F2"/>
            <w:vAlign w:val="center"/>
          </w:tcPr>
          <w:p>
            <w:pPr>
              <w:widowControl w:val="0"/>
              <w:suppressAutoHyphens/>
              <w:autoSpaceDN w:val="0"/>
              <w:spacing w:after="0" w:line="280" w:lineRule="exact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t>學習表現</w:t>
            </w:r>
          </w:p>
        </w:tc>
        <w:tc>
          <w:tcPr>
            <w:tcW w:w="6064" w:type="dxa"/>
            <w:gridSpan w:val="4"/>
            <w:shd w:val="clear" w:color="auto" w:fill="auto"/>
          </w:tcPr>
          <w:p>
            <w:pPr>
              <w:widowControl w:val="0"/>
              <w:suppressAutoHyphens/>
              <w:autoSpaceDN w:val="0"/>
              <w:spacing w:after="0" w:line="240" w:lineRule="auto"/>
              <w:rPr>
                <w:rFonts w:ascii="標楷體" w:eastAsia="標楷體" w:hAnsi="標楷體" w:cs="Arial" w:hint="eastAsia"/>
                <w:color w:val="auto"/>
                <w:kern w:val="0"/>
                <w:sz w:val="24"/>
                <w:szCs w:val="24"/>
                <w:lang w:val="en-US" w:bidi="he-IL"/>
              </w:rPr>
            </w:pPr>
            <w:r>
              <w:rPr>
                <w:rFonts w:ascii="標楷體" w:eastAsia="標楷體" w:hAnsi="標楷體" w:cs="Arial" w:hint="eastAsia"/>
                <w:color w:val="auto"/>
                <w:kern w:val="0"/>
                <w:sz w:val="24"/>
                <w:szCs w:val="24"/>
                <w:lang w:val="en-US" w:bidi="he-IL"/>
              </w:rPr>
              <w:t>n-Ⅲ-3認識因數、倍數、質數、最大公因數、最小公倍數的意義、計算與應用。</w:t>
            </w:r>
          </w:p>
        </w:tc>
        <w:tc>
          <w:tcPr>
            <w:tcW w:w="468" w:type="dxa"/>
            <w:gridSpan w:val="2"/>
            <w:vMerge w:val="restart"/>
            <w:shd w:val="clear" w:color="auto" w:fill="D9D9D9"/>
            <w:vAlign w:val="center"/>
          </w:tcPr>
          <w:p>
            <w:pPr>
              <w:widowControl w:val="0"/>
              <w:suppressAutoHyphens/>
              <w:autoSpaceDN w:val="0"/>
              <w:spacing w:after="0" w:line="280" w:lineRule="exact"/>
              <w:jc w:val="center"/>
              <w:textAlignment w:val="baseline"/>
              <w:rPr>
                <w:rFonts w:ascii="標楷體" w:eastAsia="標楷體" w:hAnsi="標楷體" w:cs="Times New Roman" w:hint="eastAsia"/>
                <w:b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b/>
                <w:color w:val="auto"/>
                <w:kern w:val="0"/>
                <w:sz w:val="24"/>
                <w:szCs w:val="24"/>
                <w:lang w:val="en-US" w:bidi="ar-SA"/>
              </w:rPr>
              <w:t>總綱與領綱之</w:t>
            </w:r>
            <w:r>
              <w:rPr>
                <w:rFonts w:ascii="標楷體" w:eastAsia="標楷體" w:hAnsi="標楷體" w:cs="Times New Roman"/>
                <w:b/>
                <w:color w:val="auto"/>
                <w:kern w:val="0"/>
                <w:sz w:val="24"/>
                <w:szCs w:val="24"/>
                <w:lang w:val="en-US" w:bidi="ar-SA"/>
              </w:rPr>
              <w:t>核心素養</w:t>
            </w:r>
          </w:p>
        </w:tc>
        <w:tc>
          <w:tcPr>
            <w:tcW w:w="3027" w:type="dxa"/>
            <w:gridSpan w:val="3"/>
            <w:vMerge w:val="restart"/>
            <w:shd w:val="clear" w:color="auto" w:fill="auto"/>
          </w:tcPr>
          <w:p>
            <w:pPr>
              <w:widowControl w:val="0"/>
              <w:suppressAutoHyphens/>
              <w:autoSpaceDN w:val="0"/>
              <w:spacing w:after="0" w:line="240" w:lineRule="auto"/>
              <w:rPr>
                <w:rFonts w:ascii="標楷體" w:eastAsia="標楷體" w:hAnsi="標楷體" w:cs="Times New Roman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val="en-US" w:bidi="ar-SA"/>
              </w:rPr>
              <w:t>●A1身心素質與自我精進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Chars="100" w:left="225" w:hangingChars="2" w:hanging="5"/>
              <w:rPr>
                <w:rFonts w:ascii="標楷體" w:eastAsia="標楷體" w:hAnsi="標楷體" w:cs="Times New Roman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val="en-US" w:bidi="ar-SA"/>
              </w:rPr>
              <w:t>數</w:t>
            </w:r>
            <w:r>
              <w:rPr>
                <w:rFonts w:ascii="標楷體" w:eastAsia="標楷體" w:hAnsi="標楷體" w:cs="Times New Roman"/>
                <w:sz w:val="24"/>
                <w:szCs w:val="24"/>
                <w:lang w:val="en-US" w:bidi="ar-SA"/>
              </w:rPr>
              <w:t>-E-A1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val="en-US" w:bidi="ar-SA"/>
              </w:rPr>
              <w:t>具備喜歡數學、對數學世界好奇、有積極主動的學習態度，並能將數學語言運用於日常生活中。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rPr>
                <w:rFonts w:ascii="標楷體" w:eastAsia="標楷體" w:hAnsi="標楷體" w:cs="Times New Roman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val="en-US" w:bidi="ar-SA"/>
              </w:rPr>
              <w:t>●A2系統思考與解決問題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Chars="100" w:left="225" w:hangingChars="2" w:hanging="5"/>
              <w:rPr>
                <w:rFonts w:ascii="標楷體" w:eastAsia="標楷體" w:hAnsi="標楷體" w:cs="Times New Roman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val="en-US" w:bidi="ar-SA"/>
              </w:rPr>
              <w:t>數</w:t>
            </w:r>
            <w:r>
              <w:rPr>
                <w:rFonts w:ascii="標楷體" w:eastAsia="標楷體" w:hAnsi="標楷體" w:cs="Times New Roman"/>
                <w:sz w:val="24"/>
                <w:szCs w:val="24"/>
                <w:lang w:val="en-US" w:bidi="ar-SA"/>
              </w:rPr>
              <w:t>-E-A2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val="en-US" w:bidi="ar-SA"/>
              </w:rPr>
              <w:t>具備基本的算術操作能力、並能指認基本的形體與相對關係，在日常生活情境中，用數學表述與解決問題。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rPr>
                <w:rFonts w:ascii="標楷體" w:eastAsia="標楷體" w:hAnsi="標楷體" w:cs="Times New Roman" w:hint="eastAsia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val="en-US" w:bidi="ar-SA"/>
              </w:rPr>
              <w:t>●A3規劃執行與創新應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val="en-US" w:bidi="ar-SA"/>
              </w:rPr>
              <w:lastRenderedPageBreak/>
              <w:t>變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Chars="100" w:left="225" w:hangingChars="2" w:hanging="5"/>
              <w:rPr>
                <w:rFonts w:ascii="標楷體" w:eastAsia="標楷體" w:hAnsi="標楷體" w:cs="Times New Roman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val="en-US" w:bidi="ar-SA"/>
              </w:rPr>
              <w:t>數</w:t>
            </w:r>
            <w:r>
              <w:rPr>
                <w:rFonts w:ascii="標楷體" w:eastAsia="標楷體" w:hAnsi="標楷體" w:cs="Times New Roman"/>
                <w:sz w:val="24"/>
                <w:szCs w:val="24"/>
                <w:lang w:val="en-US" w:bidi="ar-SA"/>
              </w:rPr>
              <w:t>-E-A3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val="en-US" w:bidi="ar-SA"/>
              </w:rPr>
              <w:t>能觀察出日常生活問題和數學的關聯，並能嘗試與擬訂解決問題的計畫。在解決問題之後，能轉化數學解答於日常生活的應用。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rPr>
                <w:rFonts w:ascii="標楷體" w:eastAsia="標楷體" w:hAnsi="標楷體" w:cs="Times New Roman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val="en-US" w:bidi="ar-SA"/>
              </w:rPr>
              <w:t>●B1符號運用與溝通表達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Chars="100" w:left="225" w:hangingChars="2" w:hanging="5"/>
              <w:rPr>
                <w:rFonts w:ascii="標楷體" w:eastAsia="標楷體" w:hAnsi="標楷體" w:cs="Times New Roman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val="en-US" w:bidi="ar-SA"/>
              </w:rPr>
              <w:t>數</w:t>
            </w:r>
            <w:r>
              <w:rPr>
                <w:rFonts w:ascii="標楷體" w:eastAsia="標楷體" w:hAnsi="標楷體" w:cs="Times New Roman"/>
                <w:sz w:val="24"/>
                <w:szCs w:val="24"/>
                <w:lang w:val="en-US" w:bidi="ar-SA"/>
              </w:rPr>
              <w:t>-E-B1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val="en-US" w:bidi="ar-SA"/>
              </w:rPr>
              <w:t>具備日常語言與數字及算術符號之間的轉換能力，並能熟練操作日常使用之度量衡及時間，認識日常經驗中的幾何形體，並能以符號表示公式。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rPr>
                <w:rFonts w:ascii="標楷體" w:eastAsia="標楷體" w:hAnsi="標楷體" w:cs="Times New Roman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val="en-US" w:bidi="ar-SA"/>
              </w:rPr>
              <w:t>●C1道德實踐與公民意識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Chars="100" w:left="225" w:hangingChars="2" w:hanging="5"/>
              <w:rPr>
                <w:rFonts w:ascii="標楷體" w:eastAsia="標楷體" w:hAnsi="標楷體" w:cs="Times New Roman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val="en-US" w:bidi="ar-SA"/>
              </w:rPr>
              <w:t>數</w:t>
            </w:r>
            <w:r>
              <w:rPr>
                <w:rFonts w:ascii="標楷體" w:eastAsia="標楷體" w:hAnsi="標楷體" w:cs="Times New Roman"/>
                <w:sz w:val="24"/>
                <w:szCs w:val="24"/>
                <w:lang w:val="en-US" w:bidi="ar-SA"/>
              </w:rPr>
              <w:t>-E-C1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val="en-US" w:bidi="ar-SA"/>
              </w:rPr>
              <w:t>具備從證據討論事情，以及和他人有條理溝通的態度。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rPr>
                <w:rFonts w:ascii="標楷體" w:eastAsia="標楷體" w:hAnsi="標楷體" w:cs="Times New Roman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val="en-US" w:bidi="ar-SA"/>
              </w:rPr>
              <w:t>●C2人際關係與團隊合作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Chars="100" w:left="225" w:hangingChars="2" w:hanging="5"/>
              <w:rPr>
                <w:rFonts w:ascii="標楷體" w:eastAsia="標楷體" w:hAnsi="標楷體" w:cs="Arial" w:hint="eastAsia"/>
                <w:color w:val="auto"/>
                <w:kern w:val="0"/>
                <w:sz w:val="24"/>
                <w:szCs w:val="24"/>
                <w:lang w:val="en-US" w:bidi="he-IL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val="en-US" w:bidi="ar-SA"/>
              </w:rPr>
              <w:t>數-E-C2樂於與他人合作解決問題並尊重不同的問題解決想法。</w:t>
            </w:r>
          </w:p>
        </w:tc>
      </w:tr>
      <w:tr>
        <w:trPr>
          <w:trHeight w:val="836"/>
          <w:jc w:val="center"/>
        </w:trPr>
        <w:tc>
          <w:tcPr>
            <w:tcW w:w="504" w:type="dxa"/>
            <w:vMerge/>
            <w:shd w:val="clear" w:color="auto" w:fill="D9D9D9"/>
            <w:vAlign w:val="center"/>
          </w:tcPr>
          <w:p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575" w:type="dxa"/>
            <w:shd w:val="clear" w:color="auto" w:fill="F2F2F2"/>
            <w:vAlign w:val="center"/>
          </w:tcPr>
          <w:p>
            <w:pPr>
              <w:widowControl w:val="0"/>
              <w:suppressAutoHyphens/>
              <w:autoSpaceDN w:val="0"/>
              <w:spacing w:after="0" w:line="280" w:lineRule="exact"/>
              <w:jc w:val="center"/>
              <w:rPr>
                <w:rFonts w:ascii="標楷體" w:eastAsia="標楷體" w:hAnsi="標楷體" w:cs="Times New Roman" w:hint="eastAsia"/>
                <w:bCs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t>學習內容</w:t>
            </w:r>
          </w:p>
        </w:tc>
        <w:tc>
          <w:tcPr>
            <w:tcW w:w="6064" w:type="dxa"/>
            <w:gridSpan w:val="4"/>
            <w:shd w:val="clear" w:color="auto" w:fill="auto"/>
          </w:tcPr>
          <w:p>
            <w:pPr>
              <w:widowControl w:val="0"/>
              <w:suppressAutoHyphens/>
              <w:autoSpaceDN w:val="0"/>
              <w:spacing w:after="0" w:line="240" w:lineRule="auto"/>
              <w:rPr>
                <w:rFonts w:ascii="標楷體" w:eastAsia="標楷體" w:hAnsi="標楷體" w:cs="Times New Roman" w:hint="eastAsia"/>
                <w:bCs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Arial" w:hint="eastAsia"/>
                <w:color w:val="auto"/>
                <w:kern w:val="0"/>
                <w:sz w:val="24"/>
                <w:szCs w:val="24"/>
                <w:lang w:val="en-US" w:bidi="he-IL"/>
              </w:rPr>
              <w:t>N-5-3公因數和公倍數：因數、倍數、公因數、公倍數、最大公因數、最小公倍數的意義。</w:t>
            </w:r>
          </w:p>
        </w:tc>
        <w:tc>
          <w:tcPr>
            <w:tcW w:w="468" w:type="dxa"/>
            <w:gridSpan w:val="2"/>
            <w:vMerge/>
            <w:shd w:val="clear" w:color="auto" w:fill="D9D9D9"/>
            <w:vAlign w:val="center"/>
          </w:tcPr>
          <w:p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3027" w:type="dxa"/>
            <w:gridSpan w:val="3"/>
            <w:vMerge/>
            <w:shd w:val="clear" w:color="auto" w:fill="auto"/>
            <w:vAlign w:val="center"/>
          </w:tcPr>
          <w:p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</w:tc>
      </w:tr>
      <w:tr>
        <w:trPr>
          <w:jc w:val="center"/>
        </w:trPr>
        <w:tc>
          <w:tcPr>
            <w:tcW w:w="1079" w:type="dxa"/>
            <w:gridSpan w:val="2"/>
            <w:shd w:val="clear" w:color="auto" w:fill="BFBFBF"/>
            <w:vAlign w:val="center"/>
          </w:tcPr>
          <w:p>
            <w:pPr>
              <w:widowControl w:val="0"/>
              <w:suppressAutoHyphens/>
              <w:autoSpaceDN w:val="0"/>
              <w:spacing w:after="0" w:line="280" w:lineRule="exact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/>
                <w:b/>
                <w:color w:val="auto"/>
                <w:kern w:val="0"/>
                <w:sz w:val="24"/>
                <w:szCs w:val="24"/>
                <w:lang w:val="en-US" w:bidi="ar-SA"/>
              </w:rPr>
              <w:t>融入議題與其實質內涵</w:t>
            </w:r>
          </w:p>
        </w:tc>
        <w:tc>
          <w:tcPr>
            <w:tcW w:w="9559" w:type="dxa"/>
            <w:gridSpan w:val="9"/>
            <w:shd w:val="clear" w:color="auto" w:fill="auto"/>
          </w:tcPr>
          <w:p>
            <w:pPr>
              <w:widowControl w:val="0"/>
              <w:spacing w:after="0" w:line="240" w:lineRule="auto"/>
              <w:rPr>
                <w:rFonts w:ascii="標楷體" w:eastAsia="標楷體" w:hAnsi="標楷體" w:cs="Times New Roman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val="en-US" w:bidi="ar-SA"/>
              </w:rPr>
              <w:t>●人權教育</w:t>
            </w:r>
          </w:p>
          <w:p>
            <w:pPr>
              <w:widowControl w:val="0"/>
              <w:spacing w:after="0" w:line="240" w:lineRule="auto"/>
              <w:rPr>
                <w:rFonts w:ascii="標楷體" w:eastAsia="標楷體" w:hAnsi="標楷體" w:cs="Times New Roman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val="en-US" w:bidi="ar-SA"/>
              </w:rPr>
              <w:t>人E5欣賞、包容個別差異並尊重自己與他人的權利。</w:t>
            </w:r>
          </w:p>
          <w:p>
            <w:pPr>
              <w:widowControl w:val="0"/>
              <w:spacing w:after="0" w:line="240" w:lineRule="auto"/>
              <w:rPr>
                <w:rFonts w:ascii="標楷體" w:eastAsia="標楷體" w:hAnsi="標楷體" w:cs="Times New Roman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val="en-US" w:bidi="ar-SA"/>
              </w:rPr>
              <w:t>●生涯規劃教育</w:t>
            </w:r>
          </w:p>
          <w:p>
            <w:pPr>
              <w:widowControl w:val="0"/>
              <w:spacing w:after="0" w:line="240" w:lineRule="auto"/>
              <w:rPr>
                <w:rFonts w:ascii="標楷體" w:eastAsia="標楷體" w:hAnsi="標楷體" w:cs="Times New Roman" w:hint="eastAsia"/>
                <w:bCs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val="en-US" w:bidi="ar-SA"/>
              </w:rPr>
              <w:t>涯E12學習解決問題與做決定的能力。</w:t>
            </w:r>
          </w:p>
        </w:tc>
      </w:tr>
      <w:tr>
        <w:trPr>
          <w:jc w:val="center"/>
        </w:trPr>
        <w:tc>
          <w:tcPr>
            <w:tcW w:w="1079" w:type="dxa"/>
            <w:gridSpan w:val="2"/>
            <w:shd w:val="clear" w:color="auto" w:fill="D9D9D9"/>
            <w:vAlign w:val="center"/>
          </w:tcPr>
          <w:p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標楷體" w:eastAsia="標楷體" w:hAnsi="標楷體" w:cs="Times New Roman"/>
                <w:b/>
                <w:color w:val="auto"/>
                <w:w w:val="85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/>
                <w:b/>
                <w:color w:val="auto"/>
                <w:w w:val="85"/>
                <w:kern w:val="0"/>
                <w:sz w:val="24"/>
                <w:szCs w:val="24"/>
                <w:lang w:val="en-US" w:bidi="ar-SA"/>
              </w:rPr>
              <w:t>與其他領域/科目的連結</w:t>
            </w:r>
          </w:p>
        </w:tc>
        <w:tc>
          <w:tcPr>
            <w:tcW w:w="9559" w:type="dxa"/>
            <w:gridSpan w:val="9"/>
            <w:shd w:val="clear" w:color="auto" w:fill="auto"/>
            <w:vAlign w:val="center"/>
          </w:tcPr>
          <w:p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標楷體" w:eastAsia="標楷體" w:hAnsi="標楷體" w:cs="Times New Roman" w:hint="eastAsia"/>
                <w:bCs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bCs/>
                <w:color w:val="auto"/>
                <w:kern w:val="0"/>
                <w:sz w:val="24"/>
                <w:szCs w:val="21"/>
                <w:lang w:val="en-US" w:bidi="ar-SA"/>
              </w:rPr>
              <w:t>國語、健康與體育、社會、自然科學、綜合活動</w:t>
            </w:r>
          </w:p>
        </w:tc>
      </w:tr>
      <w:tr>
        <w:trPr>
          <w:jc w:val="center"/>
        </w:trPr>
        <w:tc>
          <w:tcPr>
            <w:tcW w:w="1079" w:type="dxa"/>
            <w:gridSpan w:val="2"/>
            <w:shd w:val="clear" w:color="auto" w:fill="D9D9D9"/>
            <w:vAlign w:val="center"/>
          </w:tcPr>
          <w:p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標楷體" w:eastAsia="標楷體" w:hAnsi="標楷體" w:cs="Times New Roman" w:hint="eastAsia"/>
                <w:b/>
                <w:bCs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/>
                <w:b/>
                <w:color w:val="auto"/>
                <w:kern w:val="0"/>
                <w:sz w:val="24"/>
                <w:szCs w:val="24"/>
                <w:lang w:val="en-US" w:bidi="ar-SA"/>
              </w:rPr>
              <w:t>教材</w:t>
            </w:r>
            <w:r>
              <w:rPr>
                <w:rFonts w:ascii="標楷體" w:eastAsia="標楷體" w:hAnsi="標楷體" w:cs="Times New Roman" w:hint="eastAsia"/>
                <w:b/>
                <w:color w:val="auto"/>
                <w:kern w:val="0"/>
                <w:sz w:val="24"/>
                <w:szCs w:val="24"/>
                <w:lang w:val="en-US" w:bidi="ar-SA"/>
              </w:rPr>
              <w:br/>
            </w:r>
            <w:r>
              <w:rPr>
                <w:rFonts w:ascii="標楷體" w:eastAsia="標楷體" w:hAnsi="標楷體" w:cs="Times New Roman"/>
                <w:b/>
                <w:color w:val="auto"/>
                <w:kern w:val="0"/>
                <w:sz w:val="24"/>
                <w:szCs w:val="24"/>
                <w:lang w:val="en-US" w:bidi="ar-SA"/>
              </w:rPr>
              <w:t>來源</w:t>
            </w:r>
          </w:p>
        </w:tc>
        <w:tc>
          <w:tcPr>
            <w:tcW w:w="9559" w:type="dxa"/>
            <w:gridSpan w:val="9"/>
            <w:shd w:val="clear" w:color="auto" w:fill="auto"/>
            <w:vAlign w:val="center"/>
          </w:tcPr>
          <w:p>
            <w:pPr>
              <w:widowControl w:val="0"/>
              <w:suppressAutoHyphens/>
              <w:autoSpaceDN w:val="0"/>
              <w:spacing w:after="0" w:line="240" w:lineRule="auto"/>
              <w:ind w:left="240" w:hangingChars="100" w:hanging="240"/>
              <w:jc w:val="both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t>●</w: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南一版</w:t>
            </w:r>
            <w:r>
              <w:rPr>
                <w:rFonts w:ascii="標楷體" w:eastAsia="標楷體" w:hAnsi="標楷體" w:cs="Arial" w:hint="eastAsia"/>
                <w:bCs/>
                <w:color w:val="auto"/>
                <w:kern w:val="0"/>
                <w:sz w:val="24"/>
                <w:szCs w:val="24"/>
                <w:lang w:val="en-US" w:bidi="ar-SA"/>
              </w:rPr>
              <w:t>數學五上第</w:t>
            </w:r>
            <w:r>
              <w:rPr>
                <w:rFonts w:ascii="標楷體" w:eastAsia="標楷體" w:hAnsi="標楷體" w:cs="Arial"/>
                <w:bCs/>
                <w:color w:val="auto"/>
                <w:kern w:val="0"/>
                <w:sz w:val="24"/>
                <w:szCs w:val="24"/>
                <w:lang w:val="en-US" w:bidi="ar-SA"/>
              </w:rPr>
              <w:t>2</w:t>
            </w:r>
            <w:r>
              <w:rPr>
                <w:rFonts w:ascii="標楷體" w:eastAsia="標楷體" w:hAnsi="標楷體" w:cs="Arial" w:hint="eastAsia"/>
                <w:bCs/>
                <w:color w:val="auto"/>
                <w:kern w:val="0"/>
                <w:sz w:val="24"/>
                <w:szCs w:val="24"/>
                <w:lang w:val="en-US" w:bidi="ar-SA"/>
              </w:rPr>
              <w:t>單元</w:t>
            </w:r>
          </w:p>
        </w:tc>
      </w:tr>
      <w:tr>
        <w:trPr>
          <w:jc w:val="center"/>
        </w:trPr>
        <w:tc>
          <w:tcPr>
            <w:tcW w:w="1079" w:type="dxa"/>
            <w:gridSpan w:val="2"/>
            <w:shd w:val="clear" w:color="auto" w:fill="D9D9D9"/>
            <w:vAlign w:val="center"/>
          </w:tcPr>
          <w:p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標楷體" w:eastAsia="標楷體" w:hAnsi="標楷體" w:cs="Times New Roman" w:hint="eastAsia"/>
                <w:b/>
                <w:bCs/>
                <w:color w:val="auto"/>
                <w:w w:val="90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/>
                <w:b/>
                <w:color w:val="auto"/>
                <w:w w:val="90"/>
                <w:kern w:val="0"/>
                <w:sz w:val="24"/>
                <w:szCs w:val="24"/>
                <w:lang w:val="en-US" w:bidi="ar-SA"/>
              </w:rPr>
              <w:t>教學設備/資源</w:t>
            </w:r>
          </w:p>
        </w:tc>
        <w:tc>
          <w:tcPr>
            <w:tcW w:w="9559" w:type="dxa"/>
            <w:gridSpan w:val="9"/>
            <w:shd w:val="clear" w:color="auto" w:fill="auto"/>
          </w:tcPr>
          <w:p>
            <w:pPr>
              <w:widowControl w:val="0"/>
              <w:suppressAutoHyphens/>
              <w:autoSpaceDN w:val="0"/>
              <w:spacing w:after="0" w:line="240" w:lineRule="auto"/>
              <w:ind w:left="240" w:hangingChars="100" w:hanging="240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t>●</w: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課本、習作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="240" w:hangingChars="100" w:hanging="240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t>●</w: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電子書</w:t>
            </w:r>
          </w:p>
        </w:tc>
      </w:tr>
      <w:tr>
        <w:trPr>
          <w:trHeight w:val="454"/>
          <w:jc w:val="center"/>
        </w:trPr>
        <w:tc>
          <w:tcPr>
            <w:tcW w:w="10638" w:type="dxa"/>
            <w:gridSpan w:val="11"/>
            <w:shd w:val="clear" w:color="auto" w:fill="D9D9D9"/>
            <w:vAlign w:val="center"/>
          </w:tcPr>
          <w:p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標楷體" w:eastAsia="標楷體" w:hAnsi="標楷體" w:cs="Times New Roman" w:hint="eastAsia"/>
                <w:bCs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/>
                <w:b/>
                <w:color w:val="auto"/>
                <w:kern w:val="0"/>
                <w:sz w:val="24"/>
                <w:szCs w:val="24"/>
                <w:lang w:val="en-US" w:bidi="ar-SA"/>
              </w:rPr>
              <w:t>學習目標</w:t>
            </w:r>
          </w:p>
        </w:tc>
      </w:tr>
      <w:tr>
        <w:trPr>
          <w:trHeight w:val="375"/>
          <w:jc w:val="center"/>
        </w:trPr>
        <w:tc>
          <w:tcPr>
            <w:tcW w:w="10638" w:type="dxa"/>
            <w:gridSpan w:val="11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標楷體" w:eastAsia="標楷體" w:hAnsi="標楷體" w:cs="Arial Unicode MS" w:hint="eastAsia"/>
                <w:color w:val="auto"/>
                <w:kern w:val="0"/>
                <w:sz w:val="24"/>
                <w:szCs w:val="24"/>
                <w:lang w:val="en-US"/>
              </w:rPr>
            </w:pPr>
            <w:r>
              <w:rPr>
                <w:rFonts w:ascii="標楷體" w:eastAsia="標楷體" w:hAnsi="標楷體" w:cs="Arial Unicode MS" w:hint="eastAsia"/>
                <w:color w:val="auto"/>
                <w:kern w:val="0"/>
                <w:sz w:val="24"/>
                <w:szCs w:val="24"/>
                <w:lang w:val="en-US"/>
              </w:rPr>
              <w:t>1.能從兩個整數的倍數中，找出相同的倍數，了解公倍數和最小公倍數的意義。</w:t>
            </w:r>
          </w:p>
          <w:p>
            <w:pPr>
              <w:widowControl w:val="0"/>
              <w:autoSpaceDE w:val="0"/>
              <w:autoSpaceDN w:val="0"/>
              <w:spacing w:after="0" w:line="240" w:lineRule="auto"/>
              <w:rPr>
                <w:rFonts w:ascii="標楷體" w:eastAsia="標楷體" w:hAnsi="標楷體" w:cs="Times New Roman" w:hint="eastAsia"/>
                <w:bCs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Arial Unicode MS" w:hint="eastAsia"/>
                <w:color w:val="auto"/>
                <w:kern w:val="0"/>
                <w:sz w:val="24"/>
                <w:szCs w:val="24"/>
                <w:lang w:val="en-US"/>
              </w:rPr>
              <w:t>2.透過找出兩個整數的公倍數和最小公倍數，解決生活上的問題。</w:t>
            </w:r>
          </w:p>
        </w:tc>
      </w:tr>
      <w:tr>
        <w:trPr>
          <w:trHeight w:val="454"/>
          <w:jc w:val="center"/>
        </w:trPr>
        <w:tc>
          <w:tcPr>
            <w:tcW w:w="10638" w:type="dxa"/>
            <w:gridSpan w:val="11"/>
            <w:tcBorders>
              <w:top w:val="single" w:sz="12" w:space="0" w:color="auto"/>
              <w:bottom w:val="single" w:sz="6" w:space="0" w:color="auto"/>
            </w:tcBorders>
            <w:shd w:val="clear" w:color="auto" w:fill="D9D9D9"/>
            <w:vAlign w:val="center"/>
          </w:tcPr>
          <w:p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標楷體" w:eastAsia="標楷體" w:hAnsi="標楷體" w:cs="Times New Roman" w:hint="eastAsia"/>
                <w:b/>
                <w:bCs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/>
                <w:b/>
                <w:color w:val="auto"/>
                <w:kern w:val="0"/>
                <w:sz w:val="24"/>
                <w:szCs w:val="24"/>
                <w:lang w:val="en-US" w:bidi="ar-SA"/>
              </w:rPr>
              <w:t>教學活動設計</w:t>
            </w:r>
          </w:p>
        </w:tc>
      </w:tr>
      <w:tr>
        <w:trPr>
          <w:trHeight w:val="454"/>
          <w:jc w:val="center"/>
        </w:trPr>
        <w:tc>
          <w:tcPr>
            <w:tcW w:w="7390" w:type="dxa"/>
            <w:gridSpan w:val="7"/>
            <w:tcBorders>
              <w:top w:val="single" w:sz="6" w:space="0" w:color="auto"/>
              <w:bottom w:val="single" w:sz="4" w:space="0" w:color="auto"/>
            </w:tcBorders>
            <w:shd w:val="clear" w:color="auto" w:fill="F2F2F2"/>
            <w:vAlign w:val="center"/>
          </w:tcPr>
          <w:p>
            <w:pPr>
              <w:widowControl w:val="0"/>
              <w:suppressAutoHyphens/>
              <w:autoSpaceDN w:val="0"/>
              <w:spacing w:after="0" w:line="300" w:lineRule="exact"/>
              <w:jc w:val="center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t>教學活動內容及實施方式</w:t>
            </w:r>
          </w:p>
        </w:tc>
        <w:tc>
          <w:tcPr>
            <w:tcW w:w="795" w:type="dxa"/>
            <w:gridSpan w:val="3"/>
            <w:tcBorders>
              <w:top w:val="single" w:sz="6" w:space="0" w:color="auto"/>
              <w:bottom w:val="single" w:sz="4" w:space="0" w:color="auto"/>
            </w:tcBorders>
            <w:shd w:val="clear" w:color="auto" w:fill="F2F2F2"/>
            <w:vAlign w:val="center"/>
          </w:tcPr>
          <w:p>
            <w:pPr>
              <w:widowControl w:val="0"/>
              <w:suppressAutoHyphens/>
              <w:autoSpaceDN w:val="0"/>
              <w:snapToGrid w:val="0"/>
              <w:spacing w:after="0" w:line="300" w:lineRule="exact"/>
              <w:jc w:val="center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t>時間</w:t>
            </w:r>
          </w:p>
        </w:tc>
        <w:tc>
          <w:tcPr>
            <w:tcW w:w="2453" w:type="dxa"/>
            <w:tcBorders>
              <w:top w:val="single" w:sz="6" w:space="0" w:color="auto"/>
              <w:bottom w:val="single" w:sz="4" w:space="0" w:color="auto"/>
            </w:tcBorders>
            <w:shd w:val="clear" w:color="auto" w:fill="F2F2F2"/>
            <w:vAlign w:val="center"/>
          </w:tcPr>
          <w:p>
            <w:pPr>
              <w:widowControl w:val="0"/>
              <w:suppressAutoHyphens/>
              <w:autoSpaceDN w:val="0"/>
              <w:snapToGrid w:val="0"/>
              <w:spacing w:after="0" w:line="300" w:lineRule="exact"/>
              <w:jc w:val="center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t>評量方式</w:t>
            </w:r>
          </w:p>
        </w:tc>
      </w:tr>
      <w:tr>
        <w:trPr>
          <w:jc w:val="center"/>
        </w:trPr>
        <w:tc>
          <w:tcPr>
            <w:tcW w:w="7390" w:type="dxa"/>
            <w:gridSpan w:val="7"/>
            <w:tcBorders>
              <w:top w:val="single" w:sz="4" w:space="0" w:color="auto"/>
            </w:tcBorders>
            <w:shd w:val="clear" w:color="auto" w:fill="auto"/>
          </w:tcPr>
          <w:p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b/>
                <w:color w:val="auto"/>
                <w:kern w:val="0"/>
                <w:sz w:val="24"/>
                <w:szCs w:val="24"/>
                <w:lang w:val="en-US" w:bidi="ar-SA"/>
              </w:rPr>
              <w:lastRenderedPageBreak/>
              <w:t>【活動5】</w: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了解公倍數的意義、找法及應用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○公倍數的命名及找法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●布題一：在數線上找出2和3的倍數，並把共同的倍數圈起來。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Chars="99" w:left="218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noProof/>
                <w:color w:val="auto"/>
                <w:kern w:val="0"/>
                <w:sz w:val="24"/>
                <w:szCs w:val="24"/>
                <w:lang w:val="en-US" w:bidi="ar-SA"/>
              </w:rPr>
              <w:drawing>
                <wp:inline distT="0" distB="0" distL="0" distR="0">
                  <wp:extent cx="1952625" cy="419100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․兒童討論、發表。如：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Chars="100" w:left="220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新細明體" w:eastAsia="新細明體" w:hAnsi="新細明體" w:cs="新細明體" w:hint="eastAsia"/>
                <w:color w:val="auto"/>
                <w:kern w:val="0"/>
                <w:sz w:val="24"/>
                <w:szCs w:val="24"/>
                <w:lang w:val="en-US" w:bidi="ar-SA"/>
              </w:rPr>
              <w:t>①</w: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2的倍數有2、4、6、8、10、12、14、16、18。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Chars="100" w:left="220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新細明體" w:eastAsia="新細明體" w:hAnsi="新細明體" w:cs="新細明體" w:hint="eastAsia"/>
                <w:color w:val="auto"/>
                <w:kern w:val="0"/>
                <w:sz w:val="24"/>
                <w:szCs w:val="24"/>
                <w:lang w:val="en-US" w:bidi="ar-SA"/>
              </w:rPr>
              <w:t>②</w: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3的倍數有3、6、9、12、15、18。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Chars="100" w:left="220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新細明體" w:eastAsia="新細明體" w:hAnsi="新細明體" w:cs="新細明體" w:hint="eastAsia"/>
                <w:color w:val="auto"/>
                <w:kern w:val="0"/>
                <w:sz w:val="24"/>
                <w:szCs w:val="24"/>
                <w:lang w:val="en-US" w:bidi="ar-SA"/>
              </w:rPr>
              <w:t>③</w: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2和3共同的倍數有6、12、18。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="240" w:hangingChars="100" w:hanging="240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․教師說明：6、12、18……是2和3共同的倍數，叫作</w:t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t>2</w: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和3的公倍數。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․兒童聆聽，凝聚共識。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․2×3是2和3的公倍數嗎？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="240" w:hangingChars="100" w:hanging="240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․兒童討論、發表。如：2×3＝6，6÷2＝3，6÷3＝2，所以2×3是2和3的公倍數。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●布題二：4和6的公倍數中，最小的是多少？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․兒童討論、發表。如：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Chars="99" w:left="218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4的倍數：4、8、12、16、20、24、28、32、36……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Chars="99" w:left="218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6的倍數：6、12、18、24、30、36、42、48……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Chars="99" w:left="218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4和6的公倍數有12、24、36……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Chars="99" w:left="218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4和6的公倍數中，最小的是12，所以12是4和6的最小公倍數。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․4×6是4和6的公倍數嗎？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="240" w:hangingChars="100" w:hanging="240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․兒童討論、發表。如：4×6＝24，24÷4＝6，24÷6＝4，所以4×6是4和6的公倍數。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="240" w:hangingChars="100" w:hanging="240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●布題三：在</w:t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t>2×3</w: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是</w:t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t>2</w: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和</w:t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t>3</w: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的公倍數，和4×6是4和6的公倍數中，你發現了什麼？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․兒童討論、發表。如：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Chars="99" w:left="218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像2×3是2和3的公倍數，4×6是4和6的公倍數。所以兩數相乘的積也會是這兩數的公倍數。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●布題四：</w: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u w:val="single"/>
                <w:lang w:val="en-US" w:bidi="ar-SA"/>
              </w:rPr>
              <w:t>巨人特戰隊</w: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有二十幾人，執行一項「風之谷」的任務，每3人分成一組可以分完，每4人分成一組，也可以分完，</w: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u w:val="single"/>
                <w:lang w:val="en-US" w:bidi="ar-SA"/>
              </w:rPr>
              <w:t>巨人特戰隊</w: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有幾人？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․兒童討論、發表。如：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Chars="99" w:left="458" w:hangingChars="100" w:hanging="240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新細明體" w:eastAsia="新細明體" w:hAnsi="新細明體" w:cs="新細明體" w:hint="eastAsia"/>
                <w:color w:val="auto"/>
                <w:kern w:val="0"/>
                <w:sz w:val="24"/>
                <w:szCs w:val="24"/>
                <w:lang w:val="en-US" w:bidi="ar-SA"/>
              </w:rPr>
              <w:t>①</w: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3人分成一組可以分完，表示全部人數可被3整除，也就是3的倍數。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Chars="99" w:left="458" w:hangingChars="100" w:hanging="240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新細明體" w:eastAsia="新細明體" w:hAnsi="新細明體" w:cs="新細明體" w:hint="eastAsia"/>
                <w:color w:val="auto"/>
                <w:kern w:val="0"/>
                <w:sz w:val="24"/>
                <w:szCs w:val="24"/>
                <w:lang w:val="en-US" w:bidi="ar-SA"/>
              </w:rPr>
              <w:t>②</w: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4人分成一組可以分完，表示全部人數可被4整除，也就是4的倍數。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Chars="99" w:left="218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新細明體" w:eastAsia="新細明體" w:hAnsi="新細明體" w:cs="新細明體" w:hint="eastAsia"/>
                <w:color w:val="auto"/>
                <w:kern w:val="0"/>
                <w:sz w:val="24"/>
                <w:szCs w:val="24"/>
                <w:lang w:val="en-US" w:bidi="ar-SA"/>
              </w:rPr>
              <w:t>③</w:t>
            </w:r>
            <w:r>
              <w:rPr>
                <w:rFonts w:ascii="標楷體" w:eastAsia="標楷體" w:hAnsi="標楷體" w:cs="標楷體" w:hint="eastAsia"/>
                <w:color w:val="auto"/>
                <w:kern w:val="0"/>
                <w:sz w:val="24"/>
                <w:szCs w:val="24"/>
                <w:lang w:val="en-US" w:bidi="ar-SA"/>
              </w:rPr>
              <w:t>先分別找出</w: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3和4的倍數，再圈出公倍數。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Chars="200" w:left="440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3的倍數：3、6、9、</w:t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fldChar w:fldCharType="begin"/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instrText xml:space="preserve"> </w:instrTex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instrText>eq \o\ac(○,</w:instrTex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position w:val="3"/>
                <w:sz w:val="16"/>
                <w:szCs w:val="24"/>
                <w:lang w:val="en-US" w:bidi="ar-SA"/>
              </w:rPr>
              <w:instrText>12</w:instrTex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instrText>)</w:instrText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fldChar w:fldCharType="end"/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、15、18、21、</w:t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fldChar w:fldCharType="begin"/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instrText xml:space="preserve"> </w:instrTex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instrText>eq \o\ac(○,</w:instrTex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position w:val="3"/>
                <w:sz w:val="16"/>
                <w:szCs w:val="24"/>
                <w:lang w:val="en-US" w:bidi="ar-SA"/>
              </w:rPr>
              <w:instrText>24</w:instrTex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instrText>)</w:instrText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fldChar w:fldCharType="end"/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、27、30……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Chars="200" w:left="440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4的倍數：4、8、</w:t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fldChar w:fldCharType="begin"/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instrText xml:space="preserve"> </w:instrTex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instrText>eq \o\ac(○,</w:instrTex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position w:val="3"/>
                <w:sz w:val="16"/>
                <w:szCs w:val="24"/>
                <w:lang w:val="en-US" w:bidi="ar-SA"/>
              </w:rPr>
              <w:instrText>12</w:instrTex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instrText>)</w:instrText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fldChar w:fldCharType="end"/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、16、20、</w:t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fldChar w:fldCharType="begin"/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instrText xml:space="preserve"> </w:instrTex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instrText>eq \o\ac(○,</w:instrTex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position w:val="3"/>
                <w:sz w:val="16"/>
                <w:szCs w:val="24"/>
                <w:lang w:val="en-US" w:bidi="ar-SA"/>
              </w:rPr>
              <w:instrText>24</w:instrTex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instrText>)</w:instrText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fldChar w:fldCharType="end"/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、28、32……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Chars="99" w:left="458" w:hangingChars="100" w:hanging="240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新細明體" w:eastAsia="新細明體" w:hAnsi="新細明體" w:cs="新細明體" w:hint="eastAsia"/>
                <w:color w:val="auto"/>
                <w:kern w:val="0"/>
                <w:sz w:val="24"/>
                <w:szCs w:val="24"/>
                <w:lang w:val="en-US" w:bidi="ar-SA"/>
              </w:rPr>
              <w:t>④</w:t>
            </w:r>
            <w:r>
              <w:rPr>
                <w:rFonts w:ascii="標楷體" w:eastAsia="標楷體" w:hAnsi="標楷體" w:cs="標楷體" w:hint="eastAsia"/>
                <w:color w:val="auto"/>
                <w:kern w:val="0"/>
                <w:sz w:val="24"/>
                <w:szCs w:val="24"/>
                <w:lang w:val="en-US" w:bidi="ar-SA"/>
              </w:rPr>
              <w:t>二十幾人是指</w: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21～29人，3和4的公倍數有12、24……所以</w: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u w:val="single"/>
                <w:lang w:val="en-US" w:bidi="ar-SA"/>
              </w:rPr>
              <w:t>巨人特戰隊</w: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有24人。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Chars="99" w:left="218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答：24人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="238" w:hangingChars="99" w:hanging="238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●布題五：有一疊卡片，每4張裝成一盒，每8張裝成一盒，都</w: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lastRenderedPageBreak/>
              <w:t>剛好裝完，這疊卡片最少有幾張？想想看，怎麼做？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Chars="93" w:left="205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新細明體" w:eastAsia="新細明體" w:hAnsi="新細明體" w:cs="新細明體" w:hint="eastAsia"/>
                <w:color w:val="auto"/>
                <w:kern w:val="0"/>
                <w:sz w:val="24"/>
                <w:szCs w:val="24"/>
                <w:lang w:val="en-US" w:bidi="ar-SA"/>
              </w:rPr>
              <w:t>①</w:t>
            </w:r>
            <w:r>
              <w:rPr>
                <w:rFonts w:ascii="標楷體" w:eastAsia="標楷體" w:hAnsi="標楷體" w:cs="標楷體" w:hint="eastAsia"/>
                <w:color w:val="auto"/>
                <w:kern w:val="0"/>
                <w:sz w:val="24"/>
                <w:szCs w:val="24"/>
                <w:lang w:val="en-US" w:bidi="ar-SA"/>
              </w:rPr>
              <w:t>由小到大分別算出可能有幾張？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Chars="93" w:left="205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新細明體" w:eastAsia="新細明體" w:hAnsi="新細明體" w:cs="新細明體" w:hint="eastAsia"/>
                <w:color w:val="auto"/>
                <w:kern w:val="0"/>
                <w:sz w:val="24"/>
                <w:szCs w:val="24"/>
                <w:lang w:val="en-US" w:bidi="ar-SA"/>
              </w:rPr>
              <w:t>②</w:t>
            </w:r>
            <w:r>
              <w:rPr>
                <w:rFonts w:ascii="標楷體" w:eastAsia="標楷體" w:hAnsi="標楷體" w:cs="標楷體" w:hint="eastAsia"/>
                <w:color w:val="auto"/>
                <w:kern w:val="0"/>
                <w:sz w:val="24"/>
                <w:szCs w:val="24"/>
                <w:lang w:val="en-US" w:bidi="ar-SA"/>
              </w:rPr>
              <w:t>說說看，每</w: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4張、8張裝成一盒時，可能有幾張？還可能有幾張？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Chars="93" w:left="205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新細明體" w:eastAsia="新細明體" w:hAnsi="新細明體" w:cs="新細明體" w:hint="eastAsia"/>
                <w:color w:val="auto"/>
                <w:kern w:val="0"/>
                <w:sz w:val="24"/>
                <w:szCs w:val="24"/>
                <w:lang w:val="en-US" w:bidi="ar-SA"/>
              </w:rPr>
              <w:t>③</w:t>
            </w:r>
            <w:r>
              <w:rPr>
                <w:rFonts w:ascii="標楷體" w:eastAsia="標楷體" w:hAnsi="標楷體" w:cs="標楷體" w:hint="eastAsia"/>
                <w:color w:val="auto"/>
                <w:kern w:val="0"/>
                <w:sz w:val="24"/>
                <w:szCs w:val="24"/>
                <w:lang w:val="en-US" w:bidi="ar-SA"/>
              </w:rPr>
              <w:t>這疊卡片最少有幾張？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․兒童分組討論、釐清題意，各自解題，發表。如：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Chars="100" w:left="700" w:hangingChars="200" w:hanging="480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新細明體" w:eastAsia="新細明體" w:hAnsi="新細明體" w:cs="新細明體" w:hint="eastAsia"/>
                <w:color w:val="auto"/>
                <w:kern w:val="0"/>
                <w:sz w:val="24"/>
                <w:szCs w:val="24"/>
                <w:lang w:val="en-US" w:bidi="ar-SA"/>
              </w:rPr>
              <w:t>①</w:t>
            </w:r>
            <w:r>
              <w:rPr>
                <w:rFonts w:ascii="標楷體" w:eastAsia="標楷體" w:hAnsi="標楷體" w:cs="標楷體" w:hint="eastAsia"/>
                <w:color w:val="auto"/>
                <w:kern w:val="0"/>
                <w:sz w:val="24"/>
                <w:szCs w:val="24"/>
                <w:lang w:val="en-US" w:bidi="ar-SA"/>
              </w:rPr>
              <w:t>每</w: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4張裝成一盒：4、</w:t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fldChar w:fldCharType="begin"/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instrText xml:space="preserve"> </w:instrTex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instrText>eq \o\ac(○,</w:instrTex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position w:val="3"/>
                <w:sz w:val="16"/>
                <w:szCs w:val="24"/>
                <w:lang w:val="en-US" w:bidi="ar-SA"/>
              </w:rPr>
              <w:instrText>8</w:instrTex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instrText>)</w:instrText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fldChar w:fldCharType="end"/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、12、</w:t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fldChar w:fldCharType="begin"/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instrText xml:space="preserve"> </w:instrTex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instrText>eq \o\ac(○,</w:instrTex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position w:val="3"/>
                <w:sz w:val="16"/>
                <w:szCs w:val="24"/>
                <w:lang w:val="en-US" w:bidi="ar-SA"/>
              </w:rPr>
              <w:instrText>16</w:instrTex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instrText>)</w:instrText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fldChar w:fldCharType="end"/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、20、</w:t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fldChar w:fldCharType="begin"/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instrText xml:space="preserve"> </w:instrTex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instrText>eq \o\ac(○,</w:instrTex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position w:val="3"/>
                <w:sz w:val="16"/>
                <w:szCs w:val="24"/>
                <w:lang w:val="en-US" w:bidi="ar-SA"/>
              </w:rPr>
              <w:instrText>24</w:instrTex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instrText>)</w:instrText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fldChar w:fldCharType="end"/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……張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Chars="200" w:left="440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每8張裝成一盒：</w:t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fldChar w:fldCharType="begin"/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instrText xml:space="preserve"> </w:instrTex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instrText>eq \o\ac(○,</w:instrTex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position w:val="3"/>
                <w:sz w:val="16"/>
                <w:szCs w:val="24"/>
                <w:lang w:val="en-US" w:bidi="ar-SA"/>
              </w:rPr>
              <w:instrText>8</w:instrTex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instrText>)</w:instrText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fldChar w:fldCharType="end"/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、</w:t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fldChar w:fldCharType="begin"/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instrText xml:space="preserve"> </w:instrTex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instrText>eq \o\ac(○,</w:instrTex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position w:val="3"/>
                <w:sz w:val="16"/>
                <w:szCs w:val="24"/>
                <w:lang w:val="en-US" w:bidi="ar-SA"/>
              </w:rPr>
              <w:instrText>16</w:instrTex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instrText>)</w:instrText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fldChar w:fldCharType="end"/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、</w:t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fldChar w:fldCharType="begin"/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instrText xml:space="preserve"> </w:instrTex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instrText>eq \o\ac(○,</w:instrTex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position w:val="3"/>
                <w:sz w:val="16"/>
                <w:szCs w:val="24"/>
                <w:lang w:val="en-US" w:bidi="ar-SA"/>
              </w:rPr>
              <w:instrText>24</w:instrTex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instrText>)</w:instrText>
            </w: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fldChar w:fldCharType="end"/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、32、40……張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Chars="100" w:left="700" w:hangingChars="200" w:hanging="480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新細明體" w:eastAsia="新細明體" w:hAnsi="新細明體" w:cs="新細明體" w:hint="eastAsia"/>
                <w:color w:val="auto"/>
                <w:kern w:val="0"/>
                <w:sz w:val="24"/>
                <w:szCs w:val="24"/>
                <w:lang w:val="en-US" w:bidi="ar-SA"/>
              </w:rPr>
              <w:t>②</w: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8張、16張、24張、32張、40張、48張……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Chars="100" w:left="700" w:hangingChars="200" w:hanging="480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新細明體" w:eastAsia="新細明體" w:hAnsi="新細明體" w:cs="新細明體" w:hint="eastAsia"/>
                <w:color w:val="auto"/>
                <w:kern w:val="0"/>
                <w:sz w:val="24"/>
                <w:szCs w:val="24"/>
                <w:lang w:val="en-US" w:bidi="ar-SA"/>
              </w:rPr>
              <w:t>③</w:t>
            </w:r>
            <w:r>
              <w:rPr>
                <w:rFonts w:ascii="標楷體" w:eastAsia="標楷體" w:hAnsi="標楷體" w:cs="標楷體" w:hint="eastAsia"/>
                <w:color w:val="auto"/>
                <w:kern w:val="0"/>
                <w:sz w:val="24"/>
                <w:szCs w:val="24"/>
                <w:lang w:val="en-US" w:bidi="ar-SA"/>
              </w:rPr>
              <w:t>因為</w: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4和8的公倍數最小是8，所以這疊卡片最少有8張。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b/>
                <w:color w:val="auto"/>
                <w:kern w:val="0"/>
                <w:sz w:val="24"/>
                <w:szCs w:val="24"/>
                <w:lang w:val="en-US" w:bidi="ar-SA"/>
              </w:rPr>
              <w:t>～第五節結束/共7節～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</w:tcBorders>
            <w:shd w:val="clear" w:color="auto" w:fill="auto"/>
          </w:tcPr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10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8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6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8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8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center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2453" w:type="dxa"/>
            <w:tcBorders>
              <w:top w:val="single" w:sz="4" w:space="0" w:color="auto"/>
            </w:tcBorders>
            <w:shd w:val="clear" w:color="auto" w:fill="auto"/>
          </w:tcPr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●實作表現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●實作表現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●參與討論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●參與討論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●參與討論</w:t>
            </w: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textAlignment w:val="baseline"/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</w:pPr>
          </w:p>
          <w:p>
            <w:pPr>
              <w:widowControl w:val="0"/>
              <w:suppressAutoHyphens/>
              <w:autoSpaceDN w:val="0"/>
              <w:spacing w:after="0" w:line="240" w:lineRule="auto"/>
              <w:ind w:left="252" w:hangingChars="105" w:hanging="252"/>
              <w:jc w:val="both"/>
              <w:textAlignment w:val="baseline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</w:p>
        </w:tc>
      </w:tr>
      <w:tr>
        <w:trPr>
          <w:jc w:val="center"/>
        </w:trPr>
        <w:tc>
          <w:tcPr>
            <w:tcW w:w="1346" w:type="dxa"/>
            <w:gridSpan w:val="3"/>
            <w:shd w:val="clear" w:color="auto" w:fill="D9D9D9"/>
            <w:vAlign w:val="center"/>
          </w:tcPr>
          <w:p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標楷體" w:eastAsia="標楷體" w:hAnsi="標楷體" w:cs="Times New Roman" w:hint="eastAsia"/>
                <w:bCs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lastRenderedPageBreak/>
              <w:t>參考資料</w:t>
            </w:r>
          </w:p>
        </w:tc>
        <w:tc>
          <w:tcPr>
            <w:tcW w:w="6044" w:type="dxa"/>
            <w:gridSpan w:val="4"/>
            <w:shd w:val="clear" w:color="auto" w:fill="auto"/>
          </w:tcPr>
          <w:p>
            <w:pPr>
              <w:widowControl w:val="0"/>
              <w:suppressAutoHyphens/>
              <w:autoSpaceDN w:val="0"/>
              <w:spacing w:after="0" w:line="240" w:lineRule="auto"/>
              <w:ind w:left="240" w:hangingChars="100" w:hanging="240"/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標楷體" w:eastAsia="標楷體" w:hAnsi="標楷體" w:cs="Times New Roman"/>
                <w:color w:val="auto"/>
                <w:kern w:val="0"/>
                <w:sz w:val="24"/>
                <w:szCs w:val="24"/>
                <w:lang w:val="en-US" w:bidi="ar-SA"/>
              </w:rPr>
              <w:t>●</w:t>
            </w:r>
            <w:r>
              <w:rPr>
                <w:rFonts w:ascii="標楷體" w:eastAsia="標楷體" w:hAnsi="標楷體" w:cs="Times New Roman" w:hint="eastAsia"/>
                <w:color w:val="auto"/>
                <w:kern w:val="0"/>
                <w:sz w:val="24"/>
                <w:szCs w:val="24"/>
                <w:lang w:val="en-US" w:bidi="ar-SA"/>
              </w:rPr>
              <w:t>南一版數學五上教師手冊</w:t>
            </w:r>
          </w:p>
        </w:tc>
        <w:tc>
          <w:tcPr>
            <w:tcW w:w="795" w:type="dxa"/>
            <w:gridSpan w:val="3"/>
            <w:shd w:val="clear" w:color="auto" w:fill="auto"/>
          </w:tcPr>
          <w:p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標楷體" w:eastAsia="標楷體" w:hAnsi="標楷體" w:cs="Times New Roman" w:hint="eastAsia"/>
                <w:bCs/>
                <w:color w:val="auto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2453" w:type="dxa"/>
            <w:shd w:val="clear" w:color="auto" w:fill="auto"/>
          </w:tcPr>
          <w:p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標楷體" w:eastAsia="標楷體" w:hAnsi="標楷體" w:cs="Times New Roman" w:hint="eastAsia"/>
                <w:bCs/>
                <w:color w:val="auto"/>
                <w:kern w:val="0"/>
                <w:sz w:val="24"/>
                <w:szCs w:val="24"/>
                <w:lang w:val="en-US" w:bidi="ar-SA"/>
              </w:rPr>
            </w:pPr>
          </w:p>
        </w:tc>
      </w:tr>
    </w:tbl>
    <w:p>
      <w:pPr>
        <w:widowControl w:val="0"/>
        <w:suppressAutoHyphens/>
        <w:autoSpaceDN w:val="0"/>
        <w:snapToGrid w:val="0"/>
        <w:spacing w:after="0" w:line="470" w:lineRule="exact"/>
        <w:textAlignment w:val="baseline"/>
        <w:rPr>
          <w:rFonts w:eastAsia="文鼎標楷注音" w:cs="Times New Roman" w:hint="eastAsia"/>
          <w:color w:val="auto"/>
          <w:kern w:val="0"/>
          <w:sz w:val="24"/>
          <w:szCs w:val="24"/>
          <w:lang w:val="en-US" w:bidi="ar-SA"/>
        </w:rPr>
      </w:pPr>
    </w:p>
    <w:p>
      <w:pPr>
        <w:spacing w:after="0" w:line="240" w:lineRule="auto"/>
        <w:rPr>
          <w:rFonts w:ascii="標楷體" w:eastAsia="標楷體" w:hAnsi="標楷體" w:cs="Times New Roman" w:hint="eastAsia"/>
          <w:sz w:val="24"/>
        </w:rPr>
      </w:pPr>
      <w:bookmarkStart w:id="0" w:name="_GoBack"/>
      <w:bookmarkEnd w:id="0"/>
    </w:p>
    <w:sectPr>
      <w:footerReference w:type="even" r:id="rId12"/>
      <w:footerReference w:type="first" r:id="rId13"/>
      <w:pgSz w:w="11906" w:h="16838" w:code="9"/>
      <w:pgMar w:top="1134" w:right="1134" w:bottom="1134" w:left="1134" w:header="284" w:footer="28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tabs>
        <w:tab w:val="center" w:pos="4625"/>
      </w:tabs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4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tabs>
        <w:tab w:val="center" w:pos="4625"/>
      </w:tabs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4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78300E"/>
    <w:multiLevelType w:val="hybridMultilevel"/>
    <w:tmpl w:val="D25A6EC8"/>
    <w:lvl w:ilvl="0" w:tplc="54D49F9C">
      <w:start w:val="1"/>
      <w:numFmt w:val="taiwaneseCountingThousand"/>
      <w:lvlText w:val="(%1)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8306CE9"/>
    <w:multiLevelType w:val="hybridMultilevel"/>
    <w:tmpl w:val="A3E4E886"/>
    <w:lvl w:ilvl="0" w:tplc="B9CA1CAE">
      <w:start w:val="1"/>
      <w:numFmt w:val="taiwaneseCountingThousand"/>
      <w:lvlText w:val="(%1)"/>
      <w:lvlJc w:val="left"/>
      <w:pPr>
        <w:ind w:left="495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AA02567"/>
    <w:multiLevelType w:val="hybridMultilevel"/>
    <w:tmpl w:val="73F6192E"/>
    <w:lvl w:ilvl="0" w:tplc="67CA314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22CB212-517B-40A1-8C7F-B3D6389A5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lang w:val="zh-TW" w:bidi="zh-TW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line="259" w:lineRule="auto"/>
      <w:ind w:left="10" w:right="1097" w:hanging="10"/>
      <w:outlineLvl w:val="0"/>
    </w:pPr>
    <w:rPr>
      <w:rFonts w:ascii="Microsoft YaHei" w:eastAsia="Microsoft YaHei" w:hAnsi="Microsoft YaHei" w:cs="Microsoft YaHei"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" w:line="257" w:lineRule="auto"/>
      <w:ind w:left="10" w:hanging="10"/>
      <w:outlineLvl w:val="1"/>
    </w:pPr>
    <w:rPr>
      <w:rFonts w:ascii="Microsoft YaHei" w:eastAsia="Microsoft YaHei" w:hAnsi="Microsoft YaHei" w:cs="Microsoft YaHei"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" w:line="257" w:lineRule="auto"/>
      <w:ind w:left="10" w:hanging="10"/>
      <w:outlineLvl w:val="2"/>
    </w:pPr>
    <w:rPr>
      <w:rFonts w:ascii="Microsoft YaHei" w:eastAsia="Microsoft YaHei" w:hAnsi="Microsoft YaHei" w:cs="Microsoft YaHei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Pr>
      <w:rFonts w:ascii="Microsoft YaHei" w:eastAsia="Microsoft YaHei" w:hAnsi="Microsoft YaHei" w:cs="Microsoft YaHei"/>
      <w:color w:val="000000"/>
      <w:sz w:val="36"/>
    </w:rPr>
  </w:style>
  <w:style w:type="character" w:customStyle="1" w:styleId="20">
    <w:name w:val="標題 2 字元"/>
    <w:link w:val="2"/>
    <w:rPr>
      <w:rFonts w:ascii="Microsoft YaHei" w:eastAsia="Microsoft YaHei" w:hAnsi="Microsoft YaHei" w:cs="Microsoft YaHei"/>
      <w:color w:val="000000"/>
      <w:sz w:val="28"/>
    </w:rPr>
  </w:style>
  <w:style w:type="character" w:customStyle="1" w:styleId="30">
    <w:name w:val="標題 3 字元"/>
    <w:link w:val="3"/>
    <w:rPr>
      <w:rFonts w:ascii="Microsoft YaHei" w:eastAsia="Microsoft YaHei" w:hAnsi="Microsoft YaHei" w:cs="Microsoft YaHei"/>
      <w:color w:val="000000"/>
      <w:sz w:val="28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pPr>
      <w:widowControl w:val="0"/>
      <w:spacing w:after="0" w:line="240" w:lineRule="auto"/>
      <w:ind w:leftChars="200" w:left="480"/>
    </w:pPr>
    <w:rPr>
      <w:rFonts w:eastAsia="新細明體" w:cs="Times New Roman"/>
      <w:color w:val="auto"/>
      <w:sz w:val="24"/>
      <w:lang w:val="en-US" w:bidi="ar-SA"/>
    </w:rPr>
  </w:style>
  <w:style w:type="paragraph" w:styleId="a4">
    <w:name w:val="No Spacing"/>
    <w:pPr>
      <w:widowControl w:val="0"/>
      <w:autoSpaceDN w:val="0"/>
    </w:pPr>
    <w:rPr>
      <w:rFonts w:ascii="Times New Roman" w:eastAsia="新細明體" w:hAnsi="Times New Roman" w:cs="Times New Roman"/>
      <w:kern w:val="3"/>
      <w:szCs w:val="24"/>
    </w:rPr>
  </w:style>
  <w:style w:type="paragraph" w:styleId="Web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color w:val="auto"/>
      <w:kern w:val="0"/>
      <w:sz w:val="24"/>
      <w:szCs w:val="24"/>
      <w:lang w:val="en-US" w:bidi="ar-SA"/>
    </w:rPr>
  </w:style>
  <w:style w:type="paragraph" w:customStyle="1" w:styleId="11">
    <w:name w:val="內文1"/>
    <w:pPr>
      <w:widowControl w:val="0"/>
      <w:suppressAutoHyphens/>
      <w:autoSpaceDN w:val="0"/>
      <w:textAlignment w:val="baseline"/>
    </w:pPr>
    <w:rPr>
      <w:rFonts w:ascii="Calibri" w:eastAsia="新細明體" w:hAnsi="Calibri" w:cs="Times New Roman"/>
      <w:kern w:val="3"/>
    </w:rPr>
  </w:style>
  <w:style w:type="character" w:customStyle="1" w:styleId="12">
    <w:name w:val="預設段落字型1"/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Pr>
      <w:rFonts w:ascii="Calibri" w:eastAsia="Calibri" w:hAnsi="Calibri" w:cs="Calibri"/>
      <w:color w:val="000000"/>
      <w:sz w:val="20"/>
      <w:szCs w:val="20"/>
      <w:lang w:val="zh-TW" w:bidi="zh-TW"/>
    </w:rPr>
  </w:style>
  <w:style w:type="character" w:styleId="a7">
    <w:name w:val="Hyperlink"/>
    <w:basedOn w:val="a0"/>
    <w:uiPriority w:val="99"/>
    <w:semiHidden/>
    <w:unhideWhenUsed/>
    <w:rPr>
      <w:color w:val="0000FF"/>
      <w:u w:val="single"/>
    </w:rPr>
  </w:style>
  <w:style w:type="character" w:styleId="a8">
    <w:name w:val="Placeholder Text"/>
    <w:basedOn w:val="a0"/>
    <w:uiPriority w:val="99"/>
    <w:semiHidden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Pr>
      <w:rFonts w:asciiTheme="majorHAnsi" w:eastAsiaTheme="majorEastAsia" w:hAnsiTheme="majorHAnsi" w:cstheme="majorBidi"/>
      <w:color w:val="000000"/>
      <w:sz w:val="18"/>
      <w:szCs w:val="18"/>
      <w:lang w:val="zh-TW" w:bidi="zh-TW"/>
    </w:rPr>
  </w:style>
  <w:style w:type="table" w:styleId="ab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er"/>
    <w:basedOn w:val="a"/>
    <w:link w:val="ad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1"/>
      <w:szCs w:val="21"/>
      <w:lang w:val="en-US" w:bidi="ar-SA"/>
    </w:rPr>
  </w:style>
  <w:style w:type="character" w:customStyle="1" w:styleId="ad">
    <w:name w:val="頁尾 字元"/>
    <w:basedOn w:val="a0"/>
    <w:link w:val="ac"/>
    <w:uiPriority w:val="99"/>
    <w:rPr>
      <w:rFonts w:eastAsiaTheme="minorHAnsi"/>
      <w:kern w:val="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0B187-B6FF-428E-BD02-BB76E5A47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489</Words>
  <Characters>2790</Characters>
  <Application>Microsoft Office Word</Application>
  <DocSecurity>0</DocSecurity>
  <Lines>23</Lines>
  <Paragraphs>6</Paragraphs>
  <ScaleCrop>false</ScaleCrop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子計畫一~3-2</dc:title>
  <dc:creator>嘉義市政府</dc:creator>
  <cp:lastModifiedBy>tjes</cp:lastModifiedBy>
  <cp:revision>6</cp:revision>
  <cp:lastPrinted>2019-11-13T06:48:00Z</cp:lastPrinted>
  <dcterms:created xsi:type="dcterms:W3CDTF">2022-10-04T03:27:00Z</dcterms:created>
  <dcterms:modified xsi:type="dcterms:W3CDTF">2022-10-04T03:47:00Z</dcterms:modified>
</cp:coreProperties>
</file>