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66" w:rsidRDefault="00A24DD4">
      <w:pPr>
        <w:widowControl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附件三：觀課記錄表</w:t>
      </w:r>
    </w:p>
    <w:p w:rsidR="00714766" w:rsidRDefault="00A24DD4">
      <w:pPr>
        <w:widowControl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彰化縣青山國小</w:t>
      </w:r>
      <w:r>
        <w:rPr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公開授課觀課表</w:t>
      </w:r>
    </w:p>
    <w:p w:rsidR="0025586F" w:rsidRPr="008023DB" w:rsidRDefault="0025586F" w:rsidP="0025586F">
      <w:pPr>
        <w:rPr>
          <w:rFonts w:ascii="標楷體" w:eastAsia="標楷體" w:hAnsi="標楷體"/>
          <w:u w:val="single"/>
        </w:rPr>
      </w:pPr>
      <w:r>
        <w:t>授課教師：</w:t>
      </w:r>
      <w:r>
        <w:rPr>
          <w:rFonts w:hint="eastAsia"/>
          <w:u w:val="single"/>
        </w:rPr>
        <w:t xml:space="preserve">    </w:t>
      </w:r>
      <w:r w:rsidRPr="008023DB">
        <w:rPr>
          <w:rFonts w:ascii="標楷體" w:eastAsia="標楷體" w:hAnsi="標楷體" w:hint="eastAsia"/>
          <w:u w:val="single"/>
        </w:rPr>
        <w:t>鄭雅方</w:t>
      </w:r>
      <w:r>
        <w:rPr>
          <w:rFonts w:hint="eastAsia"/>
          <w:u w:val="single"/>
        </w:rPr>
        <w:t xml:space="preserve">         </w:t>
      </w:r>
      <w:r>
        <w:t xml:space="preserve">  </w:t>
      </w:r>
      <w:r>
        <w:rPr>
          <w:rFonts w:hint="eastAsia"/>
        </w:rPr>
        <w:t xml:space="preserve"> </w:t>
      </w:r>
      <w:r>
        <w:t>任教年級：</w:t>
      </w:r>
      <w:r>
        <w:rPr>
          <w:u w:val="single"/>
        </w:rPr>
        <w:t xml:space="preserve">   </w:t>
      </w:r>
      <w:r w:rsidRPr="008023DB">
        <w:rPr>
          <w:rFonts w:ascii="標楷體" w:eastAsia="標楷體" w:hAnsi="標楷體" w:hint="eastAsia"/>
          <w:u w:val="single"/>
        </w:rPr>
        <w:t>一年忠班</w:t>
      </w:r>
      <w:r>
        <w:rPr>
          <w:u w:val="single"/>
        </w:rPr>
        <w:t xml:space="preserve">    </w:t>
      </w:r>
      <w:r>
        <w:t xml:space="preserve">    </w:t>
      </w:r>
      <w:r>
        <w:t>任教科目：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數學  </w:t>
      </w:r>
    </w:p>
    <w:p w:rsidR="0025586F" w:rsidRPr="008023DB" w:rsidRDefault="0025586F" w:rsidP="0025586F">
      <w:pPr>
        <w:rPr>
          <w:u w:val="single"/>
        </w:rPr>
      </w:pPr>
      <w:r>
        <w:t>單元名稱：</w:t>
      </w:r>
      <w:r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u w:val="single"/>
        </w:rPr>
        <w:t>南一版第一冊 第七</w:t>
      </w:r>
      <w:r w:rsidRPr="00323C06">
        <w:rPr>
          <w:rFonts w:ascii="標楷體" w:eastAsia="標楷體" w:hAnsi="標楷體" w:hint="eastAsia"/>
          <w:u w:val="single"/>
        </w:rPr>
        <w:t>單元認識形狀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023DB"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   </w:t>
      </w:r>
    </w:p>
    <w:p w:rsidR="00714766" w:rsidRDefault="0025586F" w:rsidP="0025586F">
      <w:pPr>
        <w:rPr>
          <w:u w:val="single"/>
        </w:rPr>
      </w:pPr>
      <w:r>
        <w:t>觀課教師：</w:t>
      </w:r>
      <w:r>
        <w:rPr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盧昭鳳</w:t>
      </w:r>
      <w:r>
        <w:rPr>
          <w:u w:val="single"/>
        </w:rPr>
        <w:t xml:space="preserve">           </w:t>
      </w:r>
      <w:r>
        <w:t xml:space="preserve">   </w:t>
      </w:r>
      <w:r>
        <w:t>公開課日期：</w:t>
      </w:r>
      <w:r w:rsidRPr="008023DB">
        <w:rPr>
          <w:rFonts w:hint="eastAsia"/>
          <w:u w:val="single"/>
        </w:rPr>
        <w:t xml:space="preserve">  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202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>2年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1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>1月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30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 xml:space="preserve">日 </w:t>
      </w:r>
      <w:r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</w:t>
      </w:r>
      <w:r>
        <w:rPr>
          <w:rFonts w:ascii="Courier New" w:hAnsi="Courier New" w:cs="Courier New" w:hint="eastAsia"/>
          <w:color w:val="212529"/>
          <w:shd w:val="clear" w:color="auto" w:fill="FFFFFF"/>
        </w:rPr>
        <w:t xml:space="preserve"> </w:t>
      </w:r>
      <w:r>
        <w:t>觀察節次：</w:t>
      </w:r>
      <w:r>
        <w:rPr>
          <w:rFonts w:ascii="標楷體" w:eastAsia="標楷體" w:hAnsi="標楷體" w:hint="eastAsia"/>
          <w:u w:val="single"/>
        </w:rPr>
        <w:t xml:space="preserve"> 第二節10:30</w:t>
      </w:r>
      <w:r w:rsidR="008023DB">
        <w:rPr>
          <w:rFonts w:ascii="標楷體" w:eastAsia="標楷體" w:hAnsi="標楷體" w:hint="eastAsia"/>
          <w:u w:val="single"/>
        </w:rPr>
        <w:t xml:space="preserve">  </w:t>
      </w:r>
      <w:r w:rsidR="008023DB">
        <w:rPr>
          <w:u w:val="single"/>
        </w:rPr>
        <w:t xml:space="preserve">           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4371"/>
        <w:gridCol w:w="2468"/>
        <w:gridCol w:w="2693"/>
      </w:tblGrid>
      <w:tr w:rsidR="00714766" w:rsidTr="000F7734">
        <w:trPr>
          <w:trHeight w:val="607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指標 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          容</w:t>
            </w:r>
          </w:p>
        </w:tc>
        <w:tc>
          <w:tcPr>
            <w:tcW w:w="2468" w:type="dxa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達到程度</w:t>
            </w:r>
          </w:p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</w:t>
            </w:r>
            <w:r>
              <w:rPr>
                <w:rFonts w:ascii="標楷體" w:eastAsia="標楷體" w:hAnsi="標楷體" w:cs="標楷體"/>
              </w:rPr>
              <w:t>5  4  3  2  1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低</w:t>
            </w:r>
          </w:p>
        </w:tc>
        <w:tc>
          <w:tcPr>
            <w:tcW w:w="269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    註</w:t>
            </w:r>
          </w:p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(事實摘要簡述)</w:t>
            </w: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A-2-1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有效連結學生的新舊知能或生活經驗，引發與維持學生學習動機。</w:t>
            </w:r>
          </w:p>
        </w:tc>
        <w:tc>
          <w:tcPr>
            <w:tcW w:w="2468" w:type="dxa"/>
            <w:vAlign w:val="center"/>
          </w:tcPr>
          <w:p w:rsidR="00714766" w:rsidRDefault="0025586F" w:rsidP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8023DB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 w:rsidR="00A24DD4" w:rsidRPr="008023DB"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="00A24DD4">
              <w:rPr>
                <w:rFonts w:ascii="標楷體" w:eastAsia="標楷體" w:hAnsi="標楷體" w:cs="標楷體"/>
              </w:rPr>
              <w:t>□ □ □</w:t>
            </w:r>
          </w:p>
        </w:tc>
        <w:tc>
          <w:tcPr>
            <w:tcW w:w="2693" w:type="dxa"/>
            <w:vMerge w:val="restart"/>
          </w:tcPr>
          <w:p w:rsidR="00714766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  <w:r w:rsidRPr="000F7734">
              <w:rPr>
                <w:rFonts w:ascii="標楷體" w:eastAsia="標楷體" w:hAnsi="標楷體" w:cs="標楷體"/>
                <w:sz w:val="22"/>
              </w:rPr>
              <w:t>A-2-</w:t>
            </w:r>
            <w:r w:rsidR="0025586F">
              <w:rPr>
                <w:rFonts w:ascii="標楷體" w:eastAsia="標楷體" w:hAnsi="標楷體" w:cs="標楷體" w:hint="eastAsia"/>
                <w:sz w:val="22"/>
              </w:rPr>
              <w:t>1</w:t>
            </w:r>
            <w:r w:rsidR="0025586F">
              <w:rPr>
                <w:rFonts w:ascii="標楷體" w:eastAsia="標楷體" w:hAnsi="標楷體" w:cs="標楷體"/>
              </w:rPr>
              <w:t>有效連結學生的新舊知能或生活經驗，引發與維持學生學習動機。</w:t>
            </w:r>
          </w:p>
          <w:p w:rsid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:rsid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A-2-4完成每個學習活動後，適時歸納或總結學習重點。</w:t>
            </w:r>
          </w:p>
          <w:p w:rsid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:rsidR="000F7734" w:rsidRP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7734">
              <w:rPr>
                <w:rFonts w:ascii="標楷體" w:eastAsia="標楷體" w:hAnsi="標楷體" w:cs="標楷體"/>
                <w:sz w:val="22"/>
              </w:rPr>
              <w:t>A-</w:t>
            </w:r>
            <w:r w:rsidRPr="000F7734">
              <w:rPr>
                <w:rFonts w:ascii="標楷體" w:eastAsia="標楷體" w:hAnsi="標楷體" w:cs="標楷體"/>
                <w:sz w:val="22"/>
                <w:szCs w:val="22"/>
              </w:rPr>
              <w:t>3-3運用口語、非口語、教室走動等溝通技巧，幫助學生學習。</w:t>
            </w:r>
          </w:p>
          <w:p w:rsidR="000F7734" w:rsidRP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F7734" w:rsidRP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F7734" w:rsidRP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7734">
              <w:rPr>
                <w:rFonts w:ascii="標楷體" w:eastAsia="標楷體" w:hAnsi="標楷體" w:cs="標楷體"/>
                <w:sz w:val="22"/>
                <w:szCs w:val="22"/>
              </w:rPr>
              <w:t>B-1-1建立有助於學生學習的課堂規範。</w:t>
            </w:r>
          </w:p>
          <w:p w:rsidR="000F7734" w:rsidRP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F7734" w:rsidRP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F7734" w:rsidRDefault="000F7734" w:rsidP="000F773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0F7734">
              <w:rPr>
                <w:rFonts w:ascii="標楷體" w:eastAsia="標楷體" w:hAnsi="標楷體" w:cs="標楷體"/>
                <w:sz w:val="22"/>
                <w:szCs w:val="22"/>
              </w:rPr>
              <w:t>B-2-2營造溫暖的學習氣氛，促進師生之間的合作關係。</w:t>
            </w: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A-2-2</w:t>
            </w:r>
          </w:p>
        </w:tc>
        <w:tc>
          <w:tcPr>
            <w:tcW w:w="4371" w:type="dxa"/>
            <w:vAlign w:val="center"/>
          </w:tcPr>
          <w:p w:rsidR="00714766" w:rsidRDefault="0025586F">
            <w:pPr>
              <w:rPr>
                <w:rFonts w:ascii="標楷體" w:eastAsia="標楷體" w:hAnsi="標楷體" w:cs="標楷體"/>
              </w:rPr>
            </w:pPr>
            <w:r w:rsidRPr="000F7734">
              <w:rPr>
                <w:rFonts w:ascii="標楷體" w:eastAsia="標楷體" w:hAnsi="標楷體" w:cs="標楷體"/>
                <w:sz w:val="22"/>
              </w:rPr>
              <w:t>A-2-2清晰呈現教材內容，協助學生習得重要概念、原則或技能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A-2-3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提供適當的練習或活動，以理解或熟練學習內容。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A-2-4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完成每個學習活動後，適時歸納或總結學習重點。</w:t>
            </w:r>
          </w:p>
        </w:tc>
        <w:tc>
          <w:tcPr>
            <w:tcW w:w="2468" w:type="dxa"/>
            <w:vAlign w:val="center"/>
          </w:tcPr>
          <w:p w:rsidR="00714766" w:rsidRDefault="00EE497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A-3-1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運用適切的教學方法，引導學生思考、討論或實作。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463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A-3-2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教學活動中融入學習策略的指導。</w:t>
            </w:r>
          </w:p>
        </w:tc>
        <w:tc>
          <w:tcPr>
            <w:tcW w:w="2468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8023DB">
              <w:rPr>
                <w:rFonts w:ascii="標楷體" w:eastAsia="標楷體" w:hAnsi="標楷體" w:cs="標楷體"/>
              </w:rPr>
              <w:t xml:space="preserve"> </w:t>
            </w:r>
            <w:r w:rsidR="008023DB"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A-3-3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運用口語、非口語、教室走動等溝通技巧，幫助學生學習。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E4973" w:rsidTr="000F7734">
        <w:trPr>
          <w:trHeight w:val="607"/>
        </w:trPr>
        <w:tc>
          <w:tcPr>
            <w:tcW w:w="953" w:type="dxa"/>
            <w:vAlign w:val="center"/>
          </w:tcPr>
          <w:p w:rsidR="00EE4973" w:rsidRDefault="00EE4973" w:rsidP="00EE497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A-4-1</w:t>
            </w:r>
          </w:p>
        </w:tc>
        <w:tc>
          <w:tcPr>
            <w:tcW w:w="4371" w:type="dxa"/>
            <w:vAlign w:val="center"/>
          </w:tcPr>
          <w:p w:rsidR="00EE4973" w:rsidRDefault="00EE4973" w:rsidP="00EE497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運用多元評量方式，評估學生學習成效。</w:t>
            </w:r>
          </w:p>
        </w:tc>
        <w:tc>
          <w:tcPr>
            <w:tcW w:w="2468" w:type="dxa"/>
            <w:vAlign w:val="center"/>
          </w:tcPr>
          <w:p w:rsidR="00EE4973" w:rsidRDefault="00EE4973" w:rsidP="00EE497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EE4973" w:rsidRDefault="00EE4973" w:rsidP="00EE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A-4-2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分析評量結果，適時提供學生適切的學習回饋。</w:t>
            </w:r>
          </w:p>
        </w:tc>
        <w:tc>
          <w:tcPr>
            <w:tcW w:w="2468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8023DB">
              <w:rPr>
                <w:rFonts w:ascii="標楷體" w:eastAsia="標楷體" w:hAnsi="標楷體" w:cs="標楷體"/>
              </w:rPr>
              <w:t xml:space="preserve"> </w:t>
            </w:r>
            <w:r w:rsidR="008023DB"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573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A-4-3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根據評量結果，調整教學。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425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B-1-1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建立有助於學生學習的課堂規範。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431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B-1-2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適切引導或回應學生的行為表現。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B-2-1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安排適切的教學環境與設施，促進師生互動與學生學習。</w:t>
            </w:r>
          </w:p>
        </w:tc>
        <w:tc>
          <w:tcPr>
            <w:tcW w:w="2468" w:type="dxa"/>
            <w:vAlign w:val="center"/>
          </w:tcPr>
          <w:p w:rsidR="00714766" w:rsidRDefault="002558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 w:rsidR="00A24DD4">
              <w:rPr>
                <w:rFonts w:ascii="標楷體" w:eastAsia="標楷體" w:hAnsi="標楷體" w:cs="標楷體"/>
              </w:rPr>
              <w:t xml:space="preserve">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14766" w:rsidTr="000F7734">
        <w:trPr>
          <w:trHeight w:val="680"/>
        </w:trPr>
        <w:tc>
          <w:tcPr>
            <w:tcW w:w="95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B-2-2</w:t>
            </w:r>
          </w:p>
        </w:tc>
        <w:tc>
          <w:tcPr>
            <w:tcW w:w="4371" w:type="dxa"/>
            <w:vAlign w:val="center"/>
          </w:tcPr>
          <w:p w:rsidR="00714766" w:rsidRDefault="00A24D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營造溫暖的學習氣氛，促進師生之間的合作關係。</w:t>
            </w:r>
          </w:p>
        </w:tc>
        <w:tc>
          <w:tcPr>
            <w:tcW w:w="2468" w:type="dxa"/>
            <w:vAlign w:val="center"/>
          </w:tcPr>
          <w:p w:rsidR="00714766" w:rsidRDefault="008023D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A24DD4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714766" w:rsidRDefault="0071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714766" w:rsidRDefault="00714766">
      <w:pPr>
        <w:rPr>
          <w:sz w:val="16"/>
          <w:szCs w:val="16"/>
        </w:rPr>
      </w:pP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4784"/>
        <w:gridCol w:w="2478"/>
        <w:gridCol w:w="2693"/>
      </w:tblGrid>
      <w:tr w:rsidR="00714766" w:rsidTr="000F7734">
        <w:trPr>
          <w:trHeight w:val="607"/>
        </w:trPr>
        <w:tc>
          <w:tcPr>
            <w:tcW w:w="530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</w:p>
        </w:tc>
        <w:tc>
          <w:tcPr>
            <w:tcW w:w="4784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          容</w:t>
            </w:r>
          </w:p>
        </w:tc>
        <w:tc>
          <w:tcPr>
            <w:tcW w:w="2478" w:type="dxa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達到程度</w:t>
            </w:r>
          </w:p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</w:t>
            </w:r>
            <w:r>
              <w:rPr>
                <w:rFonts w:ascii="標楷體" w:eastAsia="標楷體" w:hAnsi="標楷體" w:cs="標楷體"/>
              </w:rPr>
              <w:t>5  4  3  2  1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低</w:t>
            </w:r>
          </w:p>
        </w:tc>
        <w:tc>
          <w:tcPr>
            <w:tcW w:w="2693" w:type="dxa"/>
            <w:vAlign w:val="center"/>
          </w:tcPr>
          <w:p w:rsidR="00714766" w:rsidRDefault="00A24DD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    註</w:t>
            </w:r>
          </w:p>
        </w:tc>
      </w:tr>
      <w:tr w:rsidR="000F7734" w:rsidTr="000F7734">
        <w:tc>
          <w:tcPr>
            <w:tcW w:w="530" w:type="dxa"/>
            <w:vAlign w:val="center"/>
          </w:tcPr>
          <w:p w:rsidR="000F7734" w:rsidRDefault="000F773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784" w:type="dxa"/>
          </w:tcPr>
          <w:p w:rsidR="000F7734" w:rsidRDefault="000F773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設計有效「動機引起」來吸引學生注意力</w:t>
            </w:r>
          </w:p>
        </w:tc>
        <w:tc>
          <w:tcPr>
            <w:tcW w:w="2478" w:type="dxa"/>
          </w:tcPr>
          <w:p w:rsidR="000F7734" w:rsidRDefault="0025586F" w:rsidP="002558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 w:val="restart"/>
          </w:tcPr>
          <w:p w:rsidR="000F7734" w:rsidRDefault="000F773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0F7734" w:rsidTr="000F7734">
        <w:tc>
          <w:tcPr>
            <w:tcW w:w="530" w:type="dxa"/>
            <w:vAlign w:val="center"/>
          </w:tcPr>
          <w:p w:rsidR="000F7734" w:rsidRDefault="000F773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784" w:type="dxa"/>
            <w:vAlign w:val="center"/>
          </w:tcPr>
          <w:p w:rsidR="000F7734" w:rsidRDefault="000F773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能做適切的課程設計提供優質的教材</w:t>
            </w:r>
          </w:p>
        </w:tc>
        <w:tc>
          <w:tcPr>
            <w:tcW w:w="2478" w:type="dxa"/>
          </w:tcPr>
          <w:p w:rsidR="000F7734" w:rsidRDefault="000F773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0F7734" w:rsidRDefault="000F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F7734" w:rsidTr="000F7734">
        <w:tc>
          <w:tcPr>
            <w:tcW w:w="530" w:type="dxa"/>
            <w:vAlign w:val="center"/>
          </w:tcPr>
          <w:p w:rsidR="000F7734" w:rsidRDefault="000F773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784" w:type="dxa"/>
          </w:tcPr>
          <w:p w:rsidR="000F7734" w:rsidRDefault="000F773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確認學生能「理解」所教授的原理原則或內容</w:t>
            </w:r>
          </w:p>
        </w:tc>
        <w:tc>
          <w:tcPr>
            <w:tcW w:w="2478" w:type="dxa"/>
          </w:tcPr>
          <w:p w:rsidR="000F7734" w:rsidRDefault="000F7734" w:rsidP="002558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="0025586F"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25586F"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0F7734" w:rsidRDefault="000F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F7734" w:rsidTr="000F7734">
        <w:tc>
          <w:tcPr>
            <w:tcW w:w="530" w:type="dxa"/>
            <w:vAlign w:val="center"/>
          </w:tcPr>
          <w:p w:rsidR="000F7734" w:rsidRDefault="000F773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784" w:type="dxa"/>
          </w:tcPr>
          <w:p w:rsidR="000F7734" w:rsidRDefault="000F773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安排及引導「小組討論」有效進行</w:t>
            </w:r>
          </w:p>
        </w:tc>
        <w:tc>
          <w:tcPr>
            <w:tcW w:w="2478" w:type="dxa"/>
          </w:tcPr>
          <w:p w:rsidR="000F7734" w:rsidRDefault="000F7734" w:rsidP="002558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="0025586F">
              <w:rPr>
                <w:rFonts w:ascii="標楷體" w:eastAsia="標楷體" w:hAnsi="標楷體" w:cs="標楷體"/>
              </w:rPr>
              <w:t xml:space="preserve">□ </w:t>
            </w:r>
            <w:r w:rsidR="0025586F"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 w:rsidR="0025586F">
              <w:rPr>
                <w:rFonts w:ascii="標楷體" w:eastAsia="標楷體" w:hAnsi="標楷體" w:cs="標楷體"/>
              </w:rPr>
              <w:t xml:space="preserve"> □ □ □</w:t>
            </w:r>
          </w:p>
        </w:tc>
        <w:tc>
          <w:tcPr>
            <w:tcW w:w="2693" w:type="dxa"/>
            <w:vMerge/>
          </w:tcPr>
          <w:p w:rsidR="000F7734" w:rsidRDefault="000F773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EE4973" w:rsidTr="000F7734">
        <w:tc>
          <w:tcPr>
            <w:tcW w:w="530" w:type="dxa"/>
            <w:vAlign w:val="center"/>
          </w:tcPr>
          <w:p w:rsidR="00EE4973" w:rsidRDefault="00EE4973" w:rsidP="00EE497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784" w:type="dxa"/>
          </w:tcPr>
          <w:p w:rsidR="00EE4973" w:rsidRDefault="00EE4973" w:rsidP="00EE497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確認學生達成「精熟學習」階段</w:t>
            </w:r>
          </w:p>
        </w:tc>
        <w:tc>
          <w:tcPr>
            <w:tcW w:w="2478" w:type="dxa"/>
          </w:tcPr>
          <w:p w:rsidR="00EE4973" w:rsidRDefault="00EE4973" w:rsidP="00EE497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Pr="008023DB">
              <w:rPr>
                <w:rFonts w:ascii="標楷體" w:eastAsia="標楷體" w:hAnsi="標楷體" w:cs="標楷體"/>
                <w:sz w:val="28"/>
              </w:rPr>
              <w:sym w:font="Wingdings" w:char="F0FE"/>
            </w:r>
            <w:r>
              <w:rPr>
                <w:rFonts w:ascii="標楷體" w:eastAsia="標楷體" w:hAnsi="標楷體" w:cs="標楷體"/>
              </w:rPr>
              <w:t xml:space="preserve"> □ □ □ □</w:t>
            </w:r>
          </w:p>
        </w:tc>
        <w:tc>
          <w:tcPr>
            <w:tcW w:w="2693" w:type="dxa"/>
            <w:vMerge/>
          </w:tcPr>
          <w:p w:rsidR="00EE4973" w:rsidRDefault="00EE4973" w:rsidP="00EE497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714766" w:rsidRDefault="00A24DD4">
      <w:pPr>
        <w:spacing w:line="720" w:lineRule="auto"/>
        <w:rPr>
          <w:b/>
          <w:color w:val="000000"/>
          <w:sz w:val="26"/>
          <w:szCs w:val="26"/>
        </w:rPr>
      </w:pPr>
      <w:r>
        <w:br w:type="page"/>
      </w:r>
      <w:r>
        <w:rPr>
          <w:b/>
          <w:color w:val="000000"/>
          <w:sz w:val="26"/>
          <w:szCs w:val="26"/>
        </w:rPr>
        <w:lastRenderedPageBreak/>
        <w:t>附件四：公開課後專業回饋：</w:t>
      </w:r>
    </w:p>
    <w:p w:rsidR="00714766" w:rsidRDefault="00A24DD4">
      <w:pPr>
        <w:widowControl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彰化縣青山國小</w:t>
      </w:r>
      <w:r>
        <w:rPr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公開課專業回饋記錄表</w:t>
      </w:r>
    </w:p>
    <w:p w:rsidR="0025586F" w:rsidRPr="008023DB" w:rsidRDefault="0025586F" w:rsidP="0025586F">
      <w:pPr>
        <w:rPr>
          <w:rFonts w:ascii="標楷體" w:eastAsia="標楷體" w:hAnsi="標楷體"/>
          <w:u w:val="single"/>
        </w:rPr>
      </w:pPr>
      <w:r>
        <w:t>授課教師：</w:t>
      </w:r>
      <w:r>
        <w:rPr>
          <w:rFonts w:hint="eastAsia"/>
          <w:u w:val="single"/>
        </w:rPr>
        <w:t xml:space="preserve">    </w:t>
      </w:r>
      <w:r w:rsidRPr="008023DB">
        <w:rPr>
          <w:rFonts w:ascii="標楷體" w:eastAsia="標楷體" w:hAnsi="標楷體" w:hint="eastAsia"/>
          <w:u w:val="single"/>
        </w:rPr>
        <w:t>鄭雅方</w:t>
      </w:r>
      <w:r>
        <w:rPr>
          <w:rFonts w:hint="eastAsia"/>
          <w:u w:val="single"/>
        </w:rPr>
        <w:t xml:space="preserve">         </w:t>
      </w:r>
      <w:r>
        <w:t xml:space="preserve">  </w:t>
      </w:r>
      <w:r>
        <w:rPr>
          <w:rFonts w:hint="eastAsia"/>
        </w:rPr>
        <w:t xml:space="preserve"> </w:t>
      </w:r>
      <w:r>
        <w:t>任教年級：</w:t>
      </w:r>
      <w:r>
        <w:rPr>
          <w:u w:val="single"/>
        </w:rPr>
        <w:t xml:space="preserve">   </w:t>
      </w:r>
      <w:r w:rsidRPr="008023DB">
        <w:rPr>
          <w:rFonts w:ascii="標楷體" w:eastAsia="標楷體" w:hAnsi="標楷體" w:hint="eastAsia"/>
          <w:u w:val="single"/>
        </w:rPr>
        <w:t>一年忠班</w:t>
      </w:r>
      <w:r>
        <w:rPr>
          <w:u w:val="single"/>
        </w:rPr>
        <w:t xml:space="preserve">    </w:t>
      </w:r>
      <w:r>
        <w:t xml:space="preserve">    </w:t>
      </w:r>
      <w:r>
        <w:t>任教科目：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數學  </w:t>
      </w:r>
    </w:p>
    <w:p w:rsidR="0025586F" w:rsidRPr="008023DB" w:rsidRDefault="0025586F" w:rsidP="0025586F">
      <w:pPr>
        <w:rPr>
          <w:u w:val="single"/>
        </w:rPr>
      </w:pPr>
      <w:r>
        <w:t>單元名稱：</w:t>
      </w:r>
      <w:r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u w:val="single"/>
        </w:rPr>
        <w:t>南一版第一冊 第七</w:t>
      </w:r>
      <w:r w:rsidRPr="00323C06">
        <w:rPr>
          <w:rFonts w:ascii="標楷體" w:eastAsia="標楷體" w:hAnsi="標楷體" w:hint="eastAsia"/>
          <w:u w:val="single"/>
        </w:rPr>
        <w:t>單元認識形狀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023DB"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   </w:t>
      </w:r>
    </w:p>
    <w:p w:rsidR="000F7734" w:rsidRDefault="0025586F" w:rsidP="0025586F">
      <w:pPr>
        <w:rPr>
          <w:u w:val="single"/>
        </w:rPr>
      </w:pPr>
      <w:r>
        <w:t>觀課教師：</w:t>
      </w:r>
      <w:r>
        <w:rPr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盧昭鳳</w:t>
      </w:r>
      <w:r>
        <w:rPr>
          <w:u w:val="single"/>
        </w:rPr>
        <w:t xml:space="preserve">           </w:t>
      </w:r>
      <w:r>
        <w:t xml:space="preserve">   </w:t>
      </w:r>
      <w:r>
        <w:t>公開課日期：</w:t>
      </w:r>
      <w:r w:rsidRPr="008023DB">
        <w:rPr>
          <w:rFonts w:hint="eastAsia"/>
          <w:u w:val="single"/>
        </w:rPr>
        <w:t xml:space="preserve">  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202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>2年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1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>1月</w:t>
      </w:r>
      <w:r w:rsidRPr="008023DB">
        <w:rPr>
          <w:rFonts w:ascii="標楷體" w:eastAsia="標楷體" w:hAnsi="標楷體" w:cs="Courier New"/>
          <w:color w:val="212529"/>
          <w:u w:val="single"/>
          <w:shd w:val="clear" w:color="auto" w:fill="FFFFFF"/>
        </w:rPr>
        <w:t>30</w:t>
      </w:r>
      <w:r>
        <w:rPr>
          <w:rFonts w:ascii="標楷體" w:eastAsia="標楷體" w:hAnsi="標楷體" w:cs="Courier New" w:hint="eastAsia"/>
          <w:color w:val="212529"/>
          <w:u w:val="single"/>
          <w:shd w:val="clear" w:color="auto" w:fill="FFFFFF"/>
        </w:rPr>
        <w:t xml:space="preserve">日 </w:t>
      </w:r>
      <w:r>
        <w:rPr>
          <w:rFonts w:ascii="Courier New" w:hAnsi="Courier New" w:cs="Courier New" w:hint="eastAsia"/>
          <w:color w:val="212529"/>
          <w:u w:val="single"/>
          <w:shd w:val="clear" w:color="auto" w:fill="FFFFFF"/>
        </w:rPr>
        <w:t xml:space="preserve"> </w:t>
      </w:r>
      <w:r>
        <w:rPr>
          <w:rFonts w:ascii="Courier New" w:hAnsi="Courier New" w:cs="Courier New" w:hint="eastAsia"/>
          <w:color w:val="212529"/>
          <w:shd w:val="clear" w:color="auto" w:fill="FFFFFF"/>
        </w:rPr>
        <w:t xml:space="preserve"> </w:t>
      </w:r>
      <w:r>
        <w:t>觀察節次：</w:t>
      </w:r>
      <w:r>
        <w:rPr>
          <w:rFonts w:ascii="標楷體" w:eastAsia="標楷體" w:hAnsi="標楷體" w:hint="eastAsia"/>
          <w:u w:val="single"/>
        </w:rPr>
        <w:t xml:space="preserve"> 第二節10:30</w:t>
      </w:r>
    </w:p>
    <w:tbl>
      <w:tblPr>
        <w:tblStyle w:val="ab"/>
        <w:tblW w:w="10485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714766" w:rsidTr="000F7734">
        <w:trPr>
          <w:trHeight w:val="346"/>
          <w:jc w:val="center"/>
        </w:trPr>
        <w:tc>
          <w:tcPr>
            <w:tcW w:w="10485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14766" w:rsidRDefault="00A24DD4">
            <w:pPr>
              <w:spacing w:line="340" w:lineRule="auto"/>
              <w:jc w:val="center"/>
              <w:rPr>
                <w:rFonts w:ascii="Noto Sans Symbols" w:eastAsia="Noto Sans Symbols" w:hAnsi="Noto Sans Symbols" w:cs="Noto Sans Symbols"/>
                <w:sz w:val="32"/>
                <w:szCs w:val="32"/>
              </w:rPr>
            </w:pPr>
            <w:r>
              <w:rPr>
                <w:b/>
                <w:color w:val="000000"/>
                <w:sz w:val="36"/>
                <w:szCs w:val="36"/>
              </w:rPr>
              <w:t>觀察後回饋會談紀錄</w:t>
            </w:r>
          </w:p>
        </w:tc>
      </w:tr>
      <w:tr w:rsidR="00714766" w:rsidTr="000F7734">
        <w:trPr>
          <w:trHeight w:val="4305"/>
          <w:jc w:val="center"/>
        </w:trPr>
        <w:tc>
          <w:tcPr>
            <w:tcW w:w="104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766" w:rsidRDefault="00A24DD4">
            <w:pPr>
              <w:spacing w:line="52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一、教學者的教學優點與特色有哪些：</w:t>
            </w:r>
          </w:p>
          <w:p w:rsidR="00714766" w:rsidRPr="00431566" w:rsidRDefault="0025586F" w:rsidP="000F773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利用生活上的物品為單元生活連結，</w:t>
            </w:r>
            <w:r w:rsidR="00431566">
              <w:rPr>
                <w:rFonts w:ascii="標楷體" w:eastAsia="標楷體" w:hAnsi="標楷體" w:cs="標楷體" w:hint="eastAsia"/>
                <w:sz w:val="28"/>
                <w:szCs w:val="28"/>
              </w:rPr>
              <w:t>讓孩子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透過</w:t>
            </w:r>
            <w:r w:rsidR="00431566">
              <w:rPr>
                <w:rFonts w:ascii="標楷體" w:eastAsia="標楷體" w:hAnsi="標楷體" w:cs="標楷體" w:hint="eastAsia"/>
                <w:sz w:val="28"/>
                <w:szCs w:val="28"/>
              </w:rPr>
              <w:t>生活周遭的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物品</w:t>
            </w:r>
            <w:r w:rsidR="00431566">
              <w:rPr>
                <w:rFonts w:ascii="標楷體" w:eastAsia="標楷體" w:hAnsi="標楷體" w:cs="標楷體" w:hint="eastAsia"/>
                <w:sz w:val="28"/>
                <w:szCs w:val="28"/>
              </w:rPr>
              <w:t>，引導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觀察、並實際以物品展示</w:t>
            </w:r>
            <w:r w:rsidR="00431566">
              <w:rPr>
                <w:rFonts w:ascii="標楷體" w:eastAsia="標楷體" w:hAnsi="標楷體" w:cs="標楷體" w:hint="eastAsia"/>
                <w:sz w:val="28"/>
                <w:szCs w:val="28"/>
              </w:rPr>
              <w:t>，課堂上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以生活物品與學習內容進行連結</w:t>
            </w:r>
            <w:r w:rsidR="00431566">
              <w:rPr>
                <w:rFonts w:ascii="標楷體" w:eastAsia="標楷體" w:hAnsi="標楷體" w:cs="標楷體" w:hint="eastAsia"/>
                <w:sz w:val="28"/>
                <w:szCs w:val="28"/>
              </w:rPr>
              <w:t>、開開心心熱熱鬧鬧，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童顏童語</w:t>
            </w:r>
            <w:r w:rsidR="00A24DD4">
              <w:rPr>
                <w:rFonts w:ascii="標楷體" w:eastAsia="標楷體" w:hAnsi="標楷體" w:cs="標楷體" w:hint="eastAsia"/>
                <w:sz w:val="28"/>
                <w:szCs w:val="28"/>
              </w:rPr>
              <w:t>熱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熱</w:t>
            </w:r>
            <w:r w:rsidR="00A24DD4">
              <w:rPr>
                <w:rFonts w:ascii="標楷體" w:eastAsia="標楷體" w:hAnsi="標楷體" w:cs="標楷體" w:hint="eastAsia"/>
                <w:sz w:val="28"/>
                <w:szCs w:val="28"/>
              </w:rPr>
              <w:t>鬧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鬧</w:t>
            </w:r>
            <w:r w:rsidR="00A24DD4">
              <w:rPr>
                <w:rFonts w:ascii="標楷體" w:eastAsia="標楷體" w:hAnsi="標楷體" w:cs="標楷體" w:hint="eastAsia"/>
                <w:sz w:val="28"/>
                <w:szCs w:val="28"/>
              </w:rPr>
              <w:t>又不失秩序。</w:t>
            </w:r>
          </w:p>
          <w:p w:rsidR="00714766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Default="00A24DD4">
            <w:pPr>
              <w:spacing w:line="52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二、教師教學與學生學習待改變之處：</w:t>
            </w:r>
          </w:p>
          <w:p w:rsidR="00714766" w:rsidRPr="00A24DD4" w:rsidRDefault="004018A5" w:rsidP="000F773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可讓孩子自行攜帶物品、或老師備用物品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，讓孩子分組進行實作。</w:t>
            </w:r>
          </w:p>
          <w:p w:rsidR="00714766" w:rsidRPr="004018A5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A24DD4" w:rsidRDefault="00A24DD4">
            <w:pPr>
              <w:spacing w:line="52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24DD4">
              <w:rPr>
                <w:rFonts w:ascii="標楷體" w:eastAsia="標楷體" w:hAnsi="標楷體" w:cs="標楷體"/>
                <w:b/>
                <w:sz w:val="28"/>
                <w:szCs w:val="28"/>
              </w:rPr>
              <w:t>三、這次觀課對我自己教學的啟發是：</w:t>
            </w:r>
          </w:p>
          <w:p w:rsidR="00714766" w:rsidRPr="000F7734" w:rsidRDefault="00A24DD4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給學生生活</w:t>
            </w:r>
            <w:r w:rsidR="00C0549B">
              <w:rPr>
                <w:rFonts w:ascii="標楷體" w:eastAsia="標楷體" w:hAnsi="標楷體" w:cs="標楷體" w:hint="eastAsia"/>
                <w:sz w:val="28"/>
                <w:szCs w:val="28"/>
              </w:rPr>
              <w:t>物品，與課程進行連結，實作會讓孩子將知識更具體化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A24DD4" w:rsidRDefault="00A24DD4">
            <w:pPr>
              <w:spacing w:line="52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24DD4">
              <w:rPr>
                <w:rFonts w:ascii="標楷體" w:eastAsia="標楷體" w:hAnsi="標楷體" w:cs="標楷體"/>
                <w:b/>
                <w:sz w:val="28"/>
                <w:szCs w:val="28"/>
              </w:rPr>
              <w:t>四、其他：</w:t>
            </w: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Pr="000F7734" w:rsidRDefault="00714766" w:rsidP="000F7734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714766" w:rsidRDefault="00714766">
            <w:pPr>
              <w:spacing w:line="520" w:lineRule="auto"/>
              <w:rPr>
                <w:b/>
                <w:sz w:val="28"/>
                <w:szCs w:val="28"/>
              </w:rPr>
            </w:pPr>
          </w:p>
        </w:tc>
      </w:tr>
    </w:tbl>
    <w:p w:rsidR="00714766" w:rsidRDefault="00714766"/>
    <w:sectPr w:rsidR="00714766" w:rsidSect="000F7734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2963"/>
    <w:multiLevelType w:val="multilevel"/>
    <w:tmpl w:val="E7C27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86732"/>
    <w:multiLevelType w:val="multilevel"/>
    <w:tmpl w:val="7F66E93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6"/>
    <w:rsid w:val="000F7734"/>
    <w:rsid w:val="001472CD"/>
    <w:rsid w:val="0025586F"/>
    <w:rsid w:val="004018A5"/>
    <w:rsid w:val="00431566"/>
    <w:rsid w:val="00457EA0"/>
    <w:rsid w:val="00714766"/>
    <w:rsid w:val="008023DB"/>
    <w:rsid w:val="00A24DD4"/>
    <w:rsid w:val="00C0549B"/>
    <w:rsid w:val="00E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D4C5"/>
  <w15:docId w15:val="{FF03E127-1BAF-4F0B-B34A-75695A4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A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F79AA"/>
    <w:pPr>
      <w:ind w:leftChars="200" w:left="480"/>
    </w:pPr>
  </w:style>
  <w:style w:type="table" w:styleId="a5">
    <w:name w:val="Table Grid"/>
    <w:basedOn w:val="a1"/>
    <w:uiPriority w:val="59"/>
    <w:rsid w:val="00CF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BTaJXz4B63rjSJpH54dDnYoEw==">AMUW2mXgE3zwVE+EsG6D5sL18BqYIrnqkIhi9iSES2jMWfIBZhGOrnkYTd/gkMs2L4xTMzau1FMhfXuzxQq50+W1kiqmAzgM5biJUgVKT24rg/IQR5LkBnqkd499PqbeXhaf773F/kd/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2023-04-28T09:04:00Z</dcterms:created>
  <dcterms:modified xsi:type="dcterms:W3CDTF">2023-05-18T06:25:00Z</dcterms:modified>
</cp:coreProperties>
</file>